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B6209" w14:textId="77777777" w:rsidR="00B21431" w:rsidRDefault="00B21431" w:rsidP="009C6EAC">
      <w:pPr>
        <w:rPr>
          <w:b/>
          <w:sz w:val="28"/>
        </w:rPr>
      </w:pPr>
    </w:p>
    <w:p w14:paraId="61CC4C25" w14:textId="77777777" w:rsidR="00B21431" w:rsidRDefault="00B21431" w:rsidP="00B21431">
      <w:pPr>
        <w:jc w:val="right"/>
        <w:rPr>
          <w:rStyle w:val="IntenseReference"/>
          <w:bCs w:val="0"/>
          <w:smallCaps w:val="0"/>
          <w:color w:val="FF9900"/>
          <w:sz w:val="32"/>
        </w:rPr>
      </w:pPr>
    </w:p>
    <w:p w14:paraId="75920EFD" w14:textId="77777777" w:rsidR="00B21431" w:rsidRDefault="00B21431" w:rsidP="00B21431">
      <w:pPr>
        <w:jc w:val="right"/>
        <w:rPr>
          <w:rStyle w:val="IntenseReference"/>
          <w:bCs w:val="0"/>
          <w:smallCaps w:val="0"/>
          <w:color w:val="FF9900"/>
          <w:sz w:val="32"/>
        </w:rPr>
      </w:pPr>
    </w:p>
    <w:p w14:paraId="481492A2" w14:textId="48A848AC" w:rsidR="00B21431" w:rsidRDefault="00B21431" w:rsidP="007E7825">
      <w:pPr>
        <w:rPr>
          <w:rStyle w:val="IntenseReference"/>
          <w:bCs w:val="0"/>
          <w:smallCaps w:val="0"/>
          <w:color w:val="FF9900"/>
        </w:rPr>
      </w:pPr>
    </w:p>
    <w:p w14:paraId="584A2C1D" w14:textId="77777777" w:rsidR="00B21431" w:rsidRPr="00507AED" w:rsidRDefault="00B21431" w:rsidP="00B21431">
      <w:pPr>
        <w:jc w:val="right"/>
        <w:rPr>
          <w:rStyle w:val="IntenseReference"/>
          <w:bCs w:val="0"/>
          <w:smallCaps w:val="0"/>
          <w:color w:val="FF9900"/>
        </w:rPr>
      </w:pPr>
    </w:p>
    <w:p w14:paraId="6A658850" w14:textId="41828E6B" w:rsidR="009B415A" w:rsidRPr="00F358D2" w:rsidRDefault="00B21431" w:rsidP="00B21431">
      <w:pPr>
        <w:jc w:val="center"/>
        <w:rPr>
          <w:rStyle w:val="IntenseReference"/>
          <w:color w:val="FF9900"/>
          <w:sz w:val="48"/>
          <w:lang w:val="en-GB"/>
        </w:rPr>
      </w:pPr>
      <w:r w:rsidRPr="00A96714">
        <w:rPr>
          <w:noProof/>
          <w:sz w:val="40"/>
        </w:rPr>
        <w:drawing>
          <wp:anchor distT="0" distB="0" distL="114300" distR="114300" simplePos="0" relativeHeight="251659264" behindDoc="0" locked="0" layoutInCell="1" allowOverlap="1" wp14:anchorId="509E5C36" wp14:editId="66446E17">
            <wp:simplePos x="685800" y="1162050"/>
            <wp:positionH relativeFrom="margin">
              <wp:align>left</wp:align>
            </wp:positionH>
            <wp:positionV relativeFrom="margin">
              <wp:align>top</wp:align>
            </wp:positionV>
            <wp:extent cx="2496185" cy="630555"/>
            <wp:effectExtent l="0" t="0" r="0" b="0"/>
            <wp:wrapSquare wrapText="bothSides"/>
            <wp:docPr id="28" name="Bil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rsideLogo_NRC.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96185" cy="630555"/>
                    </a:xfrm>
                    <a:prstGeom prst="rect">
                      <a:avLst/>
                    </a:prstGeom>
                  </pic:spPr>
                </pic:pic>
              </a:graphicData>
            </a:graphic>
            <wp14:sizeRelH relativeFrom="margin">
              <wp14:pctWidth>0</wp14:pctWidth>
            </wp14:sizeRelH>
            <wp14:sizeRelV relativeFrom="margin">
              <wp14:pctHeight>0</wp14:pctHeight>
            </wp14:sizeRelV>
          </wp:anchor>
        </w:drawing>
      </w:r>
      <w:r w:rsidRPr="00F358D2">
        <w:rPr>
          <w:rStyle w:val="IntenseReference"/>
          <w:color w:val="FF9900"/>
          <w:sz w:val="48"/>
          <w:lang w:val="en-GB"/>
        </w:rPr>
        <w:t xml:space="preserve">Shelter Market </w:t>
      </w:r>
      <w:r w:rsidR="009B415A" w:rsidRPr="00F358D2">
        <w:rPr>
          <w:rStyle w:val="IntenseReference"/>
          <w:color w:val="FF9900"/>
          <w:sz w:val="48"/>
          <w:lang w:val="en-GB"/>
        </w:rPr>
        <w:t>Asses</w:t>
      </w:r>
      <w:r w:rsidR="009B415A">
        <w:rPr>
          <w:rStyle w:val="IntenseReference"/>
          <w:color w:val="FF9900"/>
          <w:sz w:val="48"/>
          <w:lang w:val="en-GB"/>
        </w:rPr>
        <w:t>s</w:t>
      </w:r>
      <w:r w:rsidR="009B415A" w:rsidRPr="00F358D2">
        <w:rPr>
          <w:rStyle w:val="IntenseReference"/>
          <w:color w:val="FF9900"/>
          <w:sz w:val="48"/>
          <w:lang w:val="en-GB"/>
        </w:rPr>
        <w:t>ment R</w:t>
      </w:r>
      <w:r w:rsidR="009B415A">
        <w:rPr>
          <w:rStyle w:val="IntenseReference"/>
          <w:color w:val="FF9900"/>
          <w:sz w:val="48"/>
          <w:lang w:val="en-GB"/>
        </w:rPr>
        <w:t>eport</w:t>
      </w:r>
    </w:p>
    <w:p w14:paraId="308B3784" w14:textId="489E6694" w:rsidR="00B21431" w:rsidRPr="00C0571D" w:rsidRDefault="00B21431" w:rsidP="00B21431">
      <w:pPr>
        <w:jc w:val="center"/>
        <w:rPr>
          <w:rStyle w:val="IntenseReference"/>
          <w:bCs w:val="0"/>
          <w:smallCaps w:val="0"/>
          <w:color w:val="FF9900"/>
          <w:sz w:val="32"/>
          <w:lang w:val="en-GB"/>
        </w:rPr>
      </w:pPr>
    </w:p>
    <w:p w14:paraId="67DD9AC4" w14:textId="64EECDC5" w:rsidR="00B21431" w:rsidRPr="00F358D2" w:rsidRDefault="00B21431" w:rsidP="00B21431">
      <w:pPr>
        <w:jc w:val="center"/>
        <w:rPr>
          <w:lang w:val="en-GB"/>
        </w:rPr>
      </w:pPr>
      <w:r w:rsidRPr="00F358D2">
        <w:rPr>
          <w:lang w:val="en-GB"/>
        </w:rPr>
        <w:t>Miriam Lopez-Villegas, Shelter Adviser</w:t>
      </w:r>
    </w:p>
    <w:p w14:paraId="3858ECB6" w14:textId="585D015C" w:rsidR="00F346F5" w:rsidRPr="00D20B55" w:rsidRDefault="00F346F5" w:rsidP="00F346F5">
      <w:pPr>
        <w:jc w:val="center"/>
        <w:rPr>
          <w:lang w:val="sv-SE"/>
        </w:rPr>
      </w:pPr>
      <w:r w:rsidRPr="00D20B55">
        <w:rPr>
          <w:lang w:val="sv-SE"/>
        </w:rPr>
        <w:t xml:space="preserve">Konstantin Bazhenov, Analyst </w:t>
      </w:r>
    </w:p>
    <w:p w14:paraId="3B874CE9" w14:textId="6A7729D7" w:rsidR="00B21431" w:rsidRDefault="00B21431" w:rsidP="00B21431">
      <w:pPr>
        <w:jc w:val="center"/>
      </w:pPr>
      <w:r>
        <w:t>NRC Afghanistan, Jalalabad, June 2018</w:t>
      </w:r>
    </w:p>
    <w:p w14:paraId="62A15945" w14:textId="2C2E452F" w:rsidR="00FB1F74" w:rsidRDefault="00FB1F74" w:rsidP="00B21431"/>
    <w:p w14:paraId="0DFEAF61" w14:textId="0D74C9C2" w:rsidR="00FB1F74" w:rsidRDefault="009931B5" w:rsidP="009931B5">
      <w:pPr>
        <w:tabs>
          <w:tab w:val="left" w:pos="1010"/>
        </w:tabs>
      </w:pPr>
      <w:r>
        <w:tab/>
      </w:r>
    </w:p>
    <w:sdt>
      <w:sdtPr>
        <w:rPr>
          <w:rFonts w:eastAsiaTheme="minorHAnsi" w:cstheme="minorBidi"/>
          <w:color w:val="auto"/>
          <w:sz w:val="20"/>
          <w:szCs w:val="22"/>
        </w:rPr>
        <w:id w:val="-188911018"/>
        <w:docPartObj>
          <w:docPartGallery w:val="Table of Contents"/>
          <w:docPartUnique/>
        </w:docPartObj>
      </w:sdtPr>
      <w:sdtEndPr>
        <w:rPr>
          <w:b/>
          <w:bCs/>
          <w:noProof/>
        </w:rPr>
      </w:sdtEndPr>
      <w:sdtContent>
        <w:p w14:paraId="3AF029AB" w14:textId="389E4BFE" w:rsidR="001B1741" w:rsidRDefault="001B1741" w:rsidP="004747CD">
          <w:pPr>
            <w:pStyle w:val="TOCHeading"/>
            <w:rPr>
              <w:rStyle w:val="Heading1Char"/>
            </w:rPr>
          </w:pPr>
          <w:r w:rsidRPr="001B1741">
            <w:rPr>
              <w:rStyle w:val="Heading1Char"/>
            </w:rPr>
            <w:t>CONTENTS</w:t>
          </w:r>
        </w:p>
        <w:p w14:paraId="2BD6102A" w14:textId="2F3D3137" w:rsidR="00077353" w:rsidRPr="00077353" w:rsidRDefault="00DA6DEF" w:rsidP="00DA6DEF">
          <w:pPr>
            <w:tabs>
              <w:tab w:val="left" w:pos="1160"/>
            </w:tabs>
          </w:pPr>
          <w:r>
            <w:tab/>
          </w:r>
        </w:p>
        <w:p w14:paraId="03735C72" w14:textId="108E65E2" w:rsidR="002628EA" w:rsidRDefault="001B1741">
          <w:pPr>
            <w:pStyle w:val="TOC1"/>
            <w:rPr>
              <w:rFonts w:asciiTheme="minorHAnsi" w:eastAsiaTheme="minorEastAsia" w:hAnsiTheme="minorHAnsi"/>
              <w:b w:val="0"/>
              <w:sz w:val="22"/>
            </w:rPr>
          </w:pPr>
          <w:r>
            <w:fldChar w:fldCharType="begin"/>
          </w:r>
          <w:r>
            <w:instrText xml:space="preserve"> TOC \o "1-3" \h \z \u </w:instrText>
          </w:r>
          <w:r>
            <w:fldChar w:fldCharType="separate"/>
          </w:r>
          <w:hyperlink w:anchor="_Toc523407948" w:history="1">
            <w:r w:rsidR="002628EA" w:rsidRPr="00F52733">
              <w:rPr>
                <w:rStyle w:val="Hyperlink"/>
              </w:rPr>
              <w:t>BACKGROUND</w:t>
            </w:r>
            <w:r w:rsidR="002628EA">
              <w:rPr>
                <w:webHidden/>
              </w:rPr>
              <w:tab/>
            </w:r>
            <w:r w:rsidR="002628EA">
              <w:rPr>
                <w:webHidden/>
              </w:rPr>
              <w:fldChar w:fldCharType="begin"/>
            </w:r>
            <w:r w:rsidR="002628EA">
              <w:rPr>
                <w:webHidden/>
              </w:rPr>
              <w:instrText xml:space="preserve"> PAGEREF _Toc523407948 \h </w:instrText>
            </w:r>
            <w:r w:rsidR="002628EA">
              <w:rPr>
                <w:webHidden/>
              </w:rPr>
            </w:r>
            <w:r w:rsidR="002628EA">
              <w:rPr>
                <w:webHidden/>
              </w:rPr>
              <w:fldChar w:fldCharType="separate"/>
            </w:r>
            <w:r w:rsidR="002628EA">
              <w:rPr>
                <w:webHidden/>
              </w:rPr>
              <w:t>2</w:t>
            </w:r>
            <w:r w:rsidR="002628EA">
              <w:rPr>
                <w:webHidden/>
              </w:rPr>
              <w:fldChar w:fldCharType="end"/>
            </w:r>
          </w:hyperlink>
        </w:p>
        <w:p w14:paraId="7BAE35B6" w14:textId="7B6CD474" w:rsidR="002628EA" w:rsidRDefault="002628EA">
          <w:pPr>
            <w:pStyle w:val="TOC1"/>
            <w:rPr>
              <w:rFonts w:asciiTheme="minorHAnsi" w:eastAsiaTheme="minorEastAsia" w:hAnsiTheme="minorHAnsi"/>
              <w:b w:val="0"/>
              <w:sz w:val="22"/>
            </w:rPr>
          </w:pPr>
          <w:hyperlink w:anchor="_Toc523407949" w:history="1">
            <w:r w:rsidRPr="00F52733">
              <w:rPr>
                <w:rStyle w:val="Hyperlink"/>
              </w:rPr>
              <w:t>SHELTER MARKET ANALYSIS AIM AND SCOPE</w:t>
            </w:r>
            <w:r>
              <w:rPr>
                <w:webHidden/>
              </w:rPr>
              <w:tab/>
            </w:r>
            <w:r>
              <w:rPr>
                <w:webHidden/>
              </w:rPr>
              <w:fldChar w:fldCharType="begin"/>
            </w:r>
            <w:r>
              <w:rPr>
                <w:webHidden/>
              </w:rPr>
              <w:instrText xml:space="preserve"> PAGEREF _Toc523407949 \h </w:instrText>
            </w:r>
            <w:r>
              <w:rPr>
                <w:webHidden/>
              </w:rPr>
            </w:r>
            <w:r>
              <w:rPr>
                <w:webHidden/>
              </w:rPr>
              <w:fldChar w:fldCharType="separate"/>
            </w:r>
            <w:r>
              <w:rPr>
                <w:webHidden/>
              </w:rPr>
              <w:t>3</w:t>
            </w:r>
            <w:r>
              <w:rPr>
                <w:webHidden/>
              </w:rPr>
              <w:fldChar w:fldCharType="end"/>
            </w:r>
          </w:hyperlink>
        </w:p>
        <w:p w14:paraId="654F7F13" w14:textId="6F4B2A3E" w:rsidR="002628EA" w:rsidRDefault="002628EA">
          <w:pPr>
            <w:pStyle w:val="TOC3"/>
            <w:tabs>
              <w:tab w:val="right" w:leader="dot" w:pos="10070"/>
            </w:tabs>
            <w:rPr>
              <w:rFonts w:asciiTheme="minorHAnsi" w:eastAsiaTheme="minorEastAsia" w:hAnsiTheme="minorHAnsi"/>
              <w:noProof/>
              <w:sz w:val="22"/>
            </w:rPr>
          </w:pPr>
          <w:hyperlink w:anchor="_Toc523407950" w:history="1">
            <w:r w:rsidRPr="00F52733">
              <w:rPr>
                <w:rStyle w:val="Hyperlink"/>
                <w:noProof/>
              </w:rPr>
              <w:t>Specific Objectives</w:t>
            </w:r>
            <w:r>
              <w:rPr>
                <w:noProof/>
                <w:webHidden/>
              </w:rPr>
              <w:tab/>
            </w:r>
            <w:r>
              <w:rPr>
                <w:noProof/>
                <w:webHidden/>
              </w:rPr>
              <w:fldChar w:fldCharType="begin"/>
            </w:r>
            <w:r>
              <w:rPr>
                <w:noProof/>
                <w:webHidden/>
              </w:rPr>
              <w:instrText xml:space="preserve"> PAGEREF _Toc523407950 \h </w:instrText>
            </w:r>
            <w:r>
              <w:rPr>
                <w:noProof/>
                <w:webHidden/>
              </w:rPr>
            </w:r>
            <w:r>
              <w:rPr>
                <w:noProof/>
                <w:webHidden/>
              </w:rPr>
              <w:fldChar w:fldCharType="separate"/>
            </w:r>
            <w:r>
              <w:rPr>
                <w:noProof/>
                <w:webHidden/>
              </w:rPr>
              <w:t>3</w:t>
            </w:r>
            <w:r>
              <w:rPr>
                <w:noProof/>
                <w:webHidden/>
              </w:rPr>
              <w:fldChar w:fldCharType="end"/>
            </w:r>
          </w:hyperlink>
        </w:p>
        <w:p w14:paraId="35CAF4C3" w14:textId="3572EDD1" w:rsidR="002628EA" w:rsidRDefault="002628EA">
          <w:pPr>
            <w:pStyle w:val="TOC3"/>
            <w:tabs>
              <w:tab w:val="right" w:leader="dot" w:pos="10070"/>
            </w:tabs>
            <w:rPr>
              <w:rFonts w:asciiTheme="minorHAnsi" w:eastAsiaTheme="minorEastAsia" w:hAnsiTheme="minorHAnsi"/>
              <w:noProof/>
              <w:sz w:val="22"/>
            </w:rPr>
          </w:pPr>
          <w:hyperlink w:anchor="_Toc523407951" w:history="1">
            <w:r w:rsidRPr="00F52733">
              <w:rPr>
                <w:rStyle w:val="Hyperlink"/>
                <w:noProof/>
              </w:rPr>
              <w:t>Key Research Questions</w:t>
            </w:r>
            <w:r>
              <w:rPr>
                <w:noProof/>
                <w:webHidden/>
              </w:rPr>
              <w:tab/>
            </w:r>
            <w:r>
              <w:rPr>
                <w:noProof/>
                <w:webHidden/>
              </w:rPr>
              <w:fldChar w:fldCharType="begin"/>
            </w:r>
            <w:r>
              <w:rPr>
                <w:noProof/>
                <w:webHidden/>
              </w:rPr>
              <w:instrText xml:space="preserve"> PAGEREF _Toc523407951 \h </w:instrText>
            </w:r>
            <w:r>
              <w:rPr>
                <w:noProof/>
                <w:webHidden/>
              </w:rPr>
            </w:r>
            <w:r>
              <w:rPr>
                <w:noProof/>
                <w:webHidden/>
              </w:rPr>
              <w:fldChar w:fldCharType="separate"/>
            </w:r>
            <w:r>
              <w:rPr>
                <w:noProof/>
                <w:webHidden/>
              </w:rPr>
              <w:t>3</w:t>
            </w:r>
            <w:r>
              <w:rPr>
                <w:noProof/>
                <w:webHidden/>
              </w:rPr>
              <w:fldChar w:fldCharType="end"/>
            </w:r>
          </w:hyperlink>
        </w:p>
        <w:p w14:paraId="461CB628" w14:textId="04A8E507" w:rsidR="002628EA" w:rsidRDefault="002628EA">
          <w:pPr>
            <w:pStyle w:val="TOC3"/>
            <w:tabs>
              <w:tab w:val="right" w:leader="dot" w:pos="10070"/>
            </w:tabs>
            <w:rPr>
              <w:rFonts w:asciiTheme="minorHAnsi" w:eastAsiaTheme="minorEastAsia" w:hAnsiTheme="minorHAnsi"/>
              <w:noProof/>
              <w:sz w:val="22"/>
            </w:rPr>
          </w:pPr>
          <w:hyperlink w:anchor="_Toc523407952" w:history="1">
            <w:r w:rsidRPr="00F52733">
              <w:rPr>
                <w:rStyle w:val="Hyperlink"/>
                <w:noProof/>
              </w:rPr>
              <w:t>Methodology and Scope of the Market Assessment</w:t>
            </w:r>
            <w:r>
              <w:rPr>
                <w:noProof/>
                <w:webHidden/>
              </w:rPr>
              <w:tab/>
            </w:r>
            <w:r>
              <w:rPr>
                <w:noProof/>
                <w:webHidden/>
              </w:rPr>
              <w:fldChar w:fldCharType="begin"/>
            </w:r>
            <w:r>
              <w:rPr>
                <w:noProof/>
                <w:webHidden/>
              </w:rPr>
              <w:instrText xml:space="preserve"> PAGEREF _Toc523407952 \h </w:instrText>
            </w:r>
            <w:r>
              <w:rPr>
                <w:noProof/>
                <w:webHidden/>
              </w:rPr>
            </w:r>
            <w:r>
              <w:rPr>
                <w:noProof/>
                <w:webHidden/>
              </w:rPr>
              <w:fldChar w:fldCharType="separate"/>
            </w:r>
            <w:r>
              <w:rPr>
                <w:noProof/>
                <w:webHidden/>
              </w:rPr>
              <w:t>3</w:t>
            </w:r>
            <w:r>
              <w:rPr>
                <w:noProof/>
                <w:webHidden/>
              </w:rPr>
              <w:fldChar w:fldCharType="end"/>
            </w:r>
          </w:hyperlink>
        </w:p>
        <w:p w14:paraId="5684E3C9" w14:textId="545C8824" w:rsidR="002628EA" w:rsidRDefault="002628EA">
          <w:pPr>
            <w:pStyle w:val="TOC3"/>
            <w:tabs>
              <w:tab w:val="right" w:leader="dot" w:pos="10070"/>
            </w:tabs>
            <w:rPr>
              <w:rFonts w:asciiTheme="minorHAnsi" w:eastAsiaTheme="minorEastAsia" w:hAnsiTheme="minorHAnsi"/>
              <w:noProof/>
              <w:sz w:val="22"/>
            </w:rPr>
          </w:pPr>
          <w:hyperlink w:anchor="_Toc523407953" w:history="1">
            <w:r w:rsidRPr="00F52733">
              <w:rPr>
                <w:rStyle w:val="Hyperlink"/>
                <w:noProof/>
              </w:rPr>
              <w:t>Limitations of the assessment and potential bias</w:t>
            </w:r>
            <w:r>
              <w:rPr>
                <w:noProof/>
                <w:webHidden/>
              </w:rPr>
              <w:tab/>
            </w:r>
            <w:r>
              <w:rPr>
                <w:noProof/>
                <w:webHidden/>
              </w:rPr>
              <w:fldChar w:fldCharType="begin"/>
            </w:r>
            <w:r>
              <w:rPr>
                <w:noProof/>
                <w:webHidden/>
              </w:rPr>
              <w:instrText xml:space="preserve"> PAGEREF _Toc523407953 \h </w:instrText>
            </w:r>
            <w:r>
              <w:rPr>
                <w:noProof/>
                <w:webHidden/>
              </w:rPr>
            </w:r>
            <w:r>
              <w:rPr>
                <w:noProof/>
                <w:webHidden/>
              </w:rPr>
              <w:fldChar w:fldCharType="separate"/>
            </w:r>
            <w:r>
              <w:rPr>
                <w:noProof/>
                <w:webHidden/>
              </w:rPr>
              <w:t>4</w:t>
            </w:r>
            <w:r>
              <w:rPr>
                <w:noProof/>
                <w:webHidden/>
              </w:rPr>
              <w:fldChar w:fldCharType="end"/>
            </w:r>
          </w:hyperlink>
        </w:p>
        <w:p w14:paraId="43238C42" w14:textId="6B3B7ABF" w:rsidR="002628EA" w:rsidRDefault="002628EA">
          <w:pPr>
            <w:pStyle w:val="TOC3"/>
            <w:tabs>
              <w:tab w:val="right" w:leader="dot" w:pos="10070"/>
            </w:tabs>
            <w:rPr>
              <w:rFonts w:asciiTheme="minorHAnsi" w:eastAsiaTheme="minorEastAsia" w:hAnsiTheme="minorHAnsi"/>
              <w:noProof/>
              <w:sz w:val="22"/>
            </w:rPr>
          </w:pPr>
          <w:hyperlink w:anchor="_Toc523407954" w:history="1">
            <w:r w:rsidRPr="00F52733">
              <w:rPr>
                <w:rStyle w:val="Hyperlink"/>
                <w:noProof/>
              </w:rPr>
              <w:t>Level of analysis</w:t>
            </w:r>
            <w:r>
              <w:rPr>
                <w:noProof/>
                <w:webHidden/>
              </w:rPr>
              <w:tab/>
            </w:r>
            <w:r>
              <w:rPr>
                <w:noProof/>
                <w:webHidden/>
              </w:rPr>
              <w:fldChar w:fldCharType="begin"/>
            </w:r>
            <w:r>
              <w:rPr>
                <w:noProof/>
                <w:webHidden/>
              </w:rPr>
              <w:instrText xml:space="preserve"> PAGEREF _Toc523407954 \h </w:instrText>
            </w:r>
            <w:r>
              <w:rPr>
                <w:noProof/>
                <w:webHidden/>
              </w:rPr>
            </w:r>
            <w:r>
              <w:rPr>
                <w:noProof/>
                <w:webHidden/>
              </w:rPr>
              <w:fldChar w:fldCharType="separate"/>
            </w:r>
            <w:r>
              <w:rPr>
                <w:noProof/>
                <w:webHidden/>
              </w:rPr>
              <w:t>4</w:t>
            </w:r>
            <w:r>
              <w:rPr>
                <w:noProof/>
                <w:webHidden/>
              </w:rPr>
              <w:fldChar w:fldCharType="end"/>
            </w:r>
          </w:hyperlink>
        </w:p>
        <w:p w14:paraId="45C88B94" w14:textId="1F6A6908" w:rsidR="002628EA" w:rsidRDefault="002628EA">
          <w:pPr>
            <w:pStyle w:val="TOC1"/>
            <w:rPr>
              <w:rFonts w:asciiTheme="minorHAnsi" w:eastAsiaTheme="minorEastAsia" w:hAnsiTheme="minorHAnsi"/>
              <w:b w:val="0"/>
              <w:sz w:val="22"/>
            </w:rPr>
          </w:pPr>
          <w:hyperlink w:anchor="_Toc523407955" w:history="1">
            <w:r w:rsidRPr="00F52733">
              <w:rPr>
                <w:rStyle w:val="Hyperlink"/>
              </w:rPr>
              <w:t>FINDINGS</w:t>
            </w:r>
            <w:r>
              <w:rPr>
                <w:webHidden/>
              </w:rPr>
              <w:tab/>
            </w:r>
            <w:r>
              <w:rPr>
                <w:webHidden/>
              </w:rPr>
              <w:fldChar w:fldCharType="begin"/>
            </w:r>
            <w:r>
              <w:rPr>
                <w:webHidden/>
              </w:rPr>
              <w:instrText xml:space="preserve"> PAGEREF _Toc523407955 \h </w:instrText>
            </w:r>
            <w:r>
              <w:rPr>
                <w:webHidden/>
              </w:rPr>
            </w:r>
            <w:r>
              <w:rPr>
                <w:webHidden/>
              </w:rPr>
              <w:fldChar w:fldCharType="separate"/>
            </w:r>
            <w:r>
              <w:rPr>
                <w:webHidden/>
              </w:rPr>
              <w:t>6</w:t>
            </w:r>
            <w:r>
              <w:rPr>
                <w:webHidden/>
              </w:rPr>
              <w:fldChar w:fldCharType="end"/>
            </w:r>
          </w:hyperlink>
        </w:p>
        <w:p w14:paraId="399F912C" w14:textId="308492CA" w:rsidR="002628EA" w:rsidRDefault="002628EA">
          <w:pPr>
            <w:pStyle w:val="TOC2"/>
            <w:tabs>
              <w:tab w:val="right" w:leader="dot" w:pos="10070"/>
            </w:tabs>
            <w:rPr>
              <w:rFonts w:asciiTheme="minorHAnsi" w:eastAsiaTheme="minorEastAsia" w:hAnsiTheme="minorHAnsi"/>
              <w:noProof/>
              <w:sz w:val="22"/>
            </w:rPr>
          </w:pPr>
          <w:hyperlink w:anchor="_Toc523407956" w:history="1">
            <w:r w:rsidRPr="00F52733">
              <w:rPr>
                <w:rStyle w:val="Hyperlink"/>
                <w:noProof/>
              </w:rPr>
              <w:t>Demographics</w:t>
            </w:r>
            <w:r>
              <w:rPr>
                <w:noProof/>
                <w:webHidden/>
              </w:rPr>
              <w:tab/>
            </w:r>
            <w:r>
              <w:rPr>
                <w:noProof/>
                <w:webHidden/>
              </w:rPr>
              <w:fldChar w:fldCharType="begin"/>
            </w:r>
            <w:r>
              <w:rPr>
                <w:noProof/>
                <w:webHidden/>
              </w:rPr>
              <w:instrText xml:space="preserve"> PAGEREF _Toc523407956 \h </w:instrText>
            </w:r>
            <w:r>
              <w:rPr>
                <w:noProof/>
                <w:webHidden/>
              </w:rPr>
            </w:r>
            <w:r>
              <w:rPr>
                <w:noProof/>
                <w:webHidden/>
              </w:rPr>
              <w:fldChar w:fldCharType="separate"/>
            </w:r>
            <w:r>
              <w:rPr>
                <w:noProof/>
                <w:webHidden/>
              </w:rPr>
              <w:t>6</w:t>
            </w:r>
            <w:r>
              <w:rPr>
                <w:noProof/>
                <w:webHidden/>
              </w:rPr>
              <w:fldChar w:fldCharType="end"/>
            </w:r>
          </w:hyperlink>
        </w:p>
        <w:p w14:paraId="399107BF" w14:textId="715893CC" w:rsidR="002628EA" w:rsidRDefault="002628EA">
          <w:pPr>
            <w:pStyle w:val="TOC2"/>
            <w:tabs>
              <w:tab w:val="right" w:leader="dot" w:pos="10070"/>
            </w:tabs>
            <w:rPr>
              <w:rFonts w:asciiTheme="minorHAnsi" w:eastAsiaTheme="minorEastAsia" w:hAnsiTheme="minorHAnsi"/>
              <w:noProof/>
              <w:sz w:val="22"/>
            </w:rPr>
          </w:pPr>
          <w:hyperlink w:anchor="_Toc523407957" w:history="1">
            <w:r w:rsidRPr="00F52733">
              <w:rPr>
                <w:rStyle w:val="Hyperlink"/>
                <w:noProof/>
              </w:rPr>
              <w:t>Rental Prices across locations and quality of shelter</w:t>
            </w:r>
            <w:r>
              <w:rPr>
                <w:noProof/>
                <w:webHidden/>
              </w:rPr>
              <w:tab/>
            </w:r>
            <w:r>
              <w:rPr>
                <w:noProof/>
                <w:webHidden/>
              </w:rPr>
              <w:fldChar w:fldCharType="begin"/>
            </w:r>
            <w:r>
              <w:rPr>
                <w:noProof/>
                <w:webHidden/>
              </w:rPr>
              <w:instrText xml:space="preserve"> PAGEREF _Toc523407957 \h </w:instrText>
            </w:r>
            <w:r>
              <w:rPr>
                <w:noProof/>
                <w:webHidden/>
              </w:rPr>
            </w:r>
            <w:r>
              <w:rPr>
                <w:noProof/>
                <w:webHidden/>
              </w:rPr>
              <w:fldChar w:fldCharType="separate"/>
            </w:r>
            <w:r>
              <w:rPr>
                <w:noProof/>
                <w:webHidden/>
              </w:rPr>
              <w:t>7</w:t>
            </w:r>
            <w:r>
              <w:rPr>
                <w:noProof/>
                <w:webHidden/>
              </w:rPr>
              <w:fldChar w:fldCharType="end"/>
            </w:r>
          </w:hyperlink>
        </w:p>
        <w:p w14:paraId="0BE2FE29" w14:textId="1EC7C195" w:rsidR="002628EA" w:rsidRDefault="002628EA">
          <w:pPr>
            <w:pStyle w:val="TOC3"/>
            <w:tabs>
              <w:tab w:val="right" w:leader="dot" w:pos="10070"/>
            </w:tabs>
            <w:rPr>
              <w:rFonts w:asciiTheme="minorHAnsi" w:eastAsiaTheme="minorEastAsia" w:hAnsiTheme="minorHAnsi"/>
              <w:noProof/>
              <w:sz w:val="22"/>
            </w:rPr>
          </w:pPr>
          <w:hyperlink w:anchor="_Toc523407958" w:history="1">
            <w:r w:rsidRPr="00F52733">
              <w:rPr>
                <w:rStyle w:val="Hyperlink"/>
                <w:noProof/>
              </w:rPr>
              <w:t>Additional housing and utility expenses</w:t>
            </w:r>
            <w:r>
              <w:rPr>
                <w:noProof/>
                <w:webHidden/>
              </w:rPr>
              <w:tab/>
            </w:r>
            <w:r>
              <w:rPr>
                <w:noProof/>
                <w:webHidden/>
              </w:rPr>
              <w:fldChar w:fldCharType="begin"/>
            </w:r>
            <w:r>
              <w:rPr>
                <w:noProof/>
                <w:webHidden/>
              </w:rPr>
              <w:instrText xml:space="preserve"> PAGEREF _Toc523407958 \h </w:instrText>
            </w:r>
            <w:r>
              <w:rPr>
                <w:noProof/>
                <w:webHidden/>
              </w:rPr>
            </w:r>
            <w:r>
              <w:rPr>
                <w:noProof/>
                <w:webHidden/>
              </w:rPr>
              <w:fldChar w:fldCharType="separate"/>
            </w:r>
            <w:r>
              <w:rPr>
                <w:noProof/>
                <w:webHidden/>
              </w:rPr>
              <w:t>9</w:t>
            </w:r>
            <w:r>
              <w:rPr>
                <w:noProof/>
                <w:webHidden/>
              </w:rPr>
              <w:fldChar w:fldCharType="end"/>
            </w:r>
          </w:hyperlink>
        </w:p>
        <w:p w14:paraId="1E3D2138" w14:textId="0A5D2AAC" w:rsidR="002628EA" w:rsidRDefault="002628EA">
          <w:pPr>
            <w:pStyle w:val="TOC2"/>
            <w:tabs>
              <w:tab w:val="right" w:leader="dot" w:pos="10070"/>
            </w:tabs>
            <w:rPr>
              <w:rFonts w:asciiTheme="minorHAnsi" w:eastAsiaTheme="minorEastAsia" w:hAnsiTheme="minorHAnsi"/>
              <w:noProof/>
              <w:sz w:val="22"/>
            </w:rPr>
          </w:pPr>
          <w:hyperlink w:anchor="_Toc523407959" w:history="1">
            <w:r w:rsidRPr="00F52733">
              <w:rPr>
                <w:rStyle w:val="Hyperlink"/>
                <w:noProof/>
              </w:rPr>
              <w:t>Demand for Rental Housing</w:t>
            </w:r>
            <w:r>
              <w:rPr>
                <w:noProof/>
                <w:webHidden/>
              </w:rPr>
              <w:tab/>
            </w:r>
            <w:r>
              <w:rPr>
                <w:noProof/>
                <w:webHidden/>
              </w:rPr>
              <w:fldChar w:fldCharType="begin"/>
            </w:r>
            <w:r>
              <w:rPr>
                <w:noProof/>
                <w:webHidden/>
              </w:rPr>
              <w:instrText xml:space="preserve"> PAGEREF _Toc523407959 \h </w:instrText>
            </w:r>
            <w:r>
              <w:rPr>
                <w:noProof/>
                <w:webHidden/>
              </w:rPr>
            </w:r>
            <w:r>
              <w:rPr>
                <w:noProof/>
                <w:webHidden/>
              </w:rPr>
              <w:fldChar w:fldCharType="separate"/>
            </w:r>
            <w:r>
              <w:rPr>
                <w:noProof/>
                <w:webHidden/>
              </w:rPr>
              <w:t>10</w:t>
            </w:r>
            <w:r>
              <w:rPr>
                <w:noProof/>
                <w:webHidden/>
              </w:rPr>
              <w:fldChar w:fldCharType="end"/>
            </w:r>
          </w:hyperlink>
        </w:p>
        <w:p w14:paraId="2A302F45" w14:textId="1F1B67E2" w:rsidR="002628EA" w:rsidRDefault="002628EA">
          <w:pPr>
            <w:pStyle w:val="TOC2"/>
            <w:tabs>
              <w:tab w:val="right" w:leader="dot" w:pos="10070"/>
            </w:tabs>
            <w:rPr>
              <w:rFonts w:asciiTheme="minorHAnsi" w:eastAsiaTheme="minorEastAsia" w:hAnsiTheme="minorHAnsi"/>
              <w:noProof/>
              <w:sz w:val="22"/>
            </w:rPr>
          </w:pPr>
          <w:hyperlink w:anchor="_Toc523407960" w:history="1">
            <w:r w:rsidRPr="00F52733">
              <w:rPr>
                <w:rStyle w:val="Hyperlink"/>
                <w:noProof/>
              </w:rPr>
              <w:t>Rental Housing Supply</w:t>
            </w:r>
            <w:r>
              <w:rPr>
                <w:noProof/>
                <w:webHidden/>
              </w:rPr>
              <w:tab/>
            </w:r>
            <w:r>
              <w:rPr>
                <w:noProof/>
                <w:webHidden/>
              </w:rPr>
              <w:fldChar w:fldCharType="begin"/>
            </w:r>
            <w:r>
              <w:rPr>
                <w:noProof/>
                <w:webHidden/>
              </w:rPr>
              <w:instrText xml:space="preserve"> PAGEREF _Toc523407960 \h </w:instrText>
            </w:r>
            <w:r>
              <w:rPr>
                <w:noProof/>
                <w:webHidden/>
              </w:rPr>
            </w:r>
            <w:r>
              <w:rPr>
                <w:noProof/>
                <w:webHidden/>
              </w:rPr>
              <w:fldChar w:fldCharType="separate"/>
            </w:r>
            <w:r>
              <w:rPr>
                <w:noProof/>
                <w:webHidden/>
              </w:rPr>
              <w:t>10</w:t>
            </w:r>
            <w:r>
              <w:rPr>
                <w:noProof/>
                <w:webHidden/>
              </w:rPr>
              <w:fldChar w:fldCharType="end"/>
            </w:r>
          </w:hyperlink>
        </w:p>
        <w:p w14:paraId="15924050" w14:textId="29ED2D94" w:rsidR="002628EA" w:rsidRDefault="002628EA">
          <w:pPr>
            <w:pStyle w:val="TOC2"/>
            <w:tabs>
              <w:tab w:val="right" w:leader="dot" w:pos="10070"/>
            </w:tabs>
            <w:rPr>
              <w:rFonts w:asciiTheme="minorHAnsi" w:eastAsiaTheme="minorEastAsia" w:hAnsiTheme="minorHAnsi"/>
              <w:noProof/>
              <w:sz w:val="22"/>
            </w:rPr>
          </w:pPr>
          <w:hyperlink w:anchor="_Toc523407961" w:history="1">
            <w:r w:rsidRPr="00F52733">
              <w:rPr>
                <w:rStyle w:val="Hyperlink"/>
                <w:noProof/>
              </w:rPr>
              <w:t>Rental Housing Quality</w:t>
            </w:r>
            <w:r>
              <w:rPr>
                <w:noProof/>
                <w:webHidden/>
              </w:rPr>
              <w:tab/>
            </w:r>
            <w:r>
              <w:rPr>
                <w:noProof/>
                <w:webHidden/>
              </w:rPr>
              <w:fldChar w:fldCharType="begin"/>
            </w:r>
            <w:r>
              <w:rPr>
                <w:noProof/>
                <w:webHidden/>
              </w:rPr>
              <w:instrText xml:space="preserve"> PAGEREF _Toc523407961 \h </w:instrText>
            </w:r>
            <w:r>
              <w:rPr>
                <w:noProof/>
                <w:webHidden/>
              </w:rPr>
            </w:r>
            <w:r>
              <w:rPr>
                <w:noProof/>
                <w:webHidden/>
              </w:rPr>
              <w:fldChar w:fldCharType="separate"/>
            </w:r>
            <w:r>
              <w:rPr>
                <w:noProof/>
                <w:webHidden/>
              </w:rPr>
              <w:t>12</w:t>
            </w:r>
            <w:r>
              <w:rPr>
                <w:noProof/>
                <w:webHidden/>
              </w:rPr>
              <w:fldChar w:fldCharType="end"/>
            </w:r>
          </w:hyperlink>
        </w:p>
        <w:p w14:paraId="26B9F32A" w14:textId="590EEBC8" w:rsidR="002628EA" w:rsidRDefault="002628EA">
          <w:pPr>
            <w:pStyle w:val="TOC2"/>
            <w:tabs>
              <w:tab w:val="right" w:leader="dot" w:pos="10070"/>
            </w:tabs>
            <w:rPr>
              <w:rFonts w:asciiTheme="minorHAnsi" w:eastAsiaTheme="minorEastAsia" w:hAnsiTheme="minorHAnsi"/>
              <w:noProof/>
              <w:sz w:val="22"/>
            </w:rPr>
          </w:pPr>
          <w:hyperlink w:anchor="_Toc523407962" w:history="1">
            <w:r w:rsidRPr="00F52733">
              <w:rPr>
                <w:rStyle w:val="Hyperlink"/>
                <w:noProof/>
              </w:rPr>
              <w:t>Overcrowding</w:t>
            </w:r>
            <w:r>
              <w:rPr>
                <w:noProof/>
                <w:webHidden/>
              </w:rPr>
              <w:tab/>
            </w:r>
            <w:r>
              <w:rPr>
                <w:noProof/>
                <w:webHidden/>
              </w:rPr>
              <w:fldChar w:fldCharType="begin"/>
            </w:r>
            <w:r>
              <w:rPr>
                <w:noProof/>
                <w:webHidden/>
              </w:rPr>
              <w:instrText xml:space="preserve"> PAGEREF _Toc523407962 \h </w:instrText>
            </w:r>
            <w:r>
              <w:rPr>
                <w:noProof/>
                <w:webHidden/>
              </w:rPr>
            </w:r>
            <w:r>
              <w:rPr>
                <w:noProof/>
                <w:webHidden/>
              </w:rPr>
              <w:fldChar w:fldCharType="separate"/>
            </w:r>
            <w:r>
              <w:rPr>
                <w:noProof/>
                <w:webHidden/>
              </w:rPr>
              <w:t>13</w:t>
            </w:r>
            <w:r>
              <w:rPr>
                <w:noProof/>
                <w:webHidden/>
              </w:rPr>
              <w:fldChar w:fldCharType="end"/>
            </w:r>
          </w:hyperlink>
        </w:p>
        <w:p w14:paraId="46B24B47" w14:textId="0029D024" w:rsidR="002628EA" w:rsidRDefault="002628EA">
          <w:pPr>
            <w:pStyle w:val="TOC2"/>
            <w:tabs>
              <w:tab w:val="right" w:leader="dot" w:pos="10070"/>
            </w:tabs>
            <w:rPr>
              <w:rFonts w:asciiTheme="minorHAnsi" w:eastAsiaTheme="minorEastAsia" w:hAnsiTheme="minorHAnsi"/>
              <w:noProof/>
              <w:sz w:val="22"/>
            </w:rPr>
          </w:pPr>
          <w:hyperlink w:anchor="_Toc523407963" w:history="1">
            <w:r w:rsidRPr="00F52733">
              <w:rPr>
                <w:rStyle w:val="Hyperlink"/>
                <w:noProof/>
              </w:rPr>
              <w:t>Security of Tenure and the Formalization of Rental Contracts</w:t>
            </w:r>
            <w:r>
              <w:rPr>
                <w:noProof/>
                <w:webHidden/>
              </w:rPr>
              <w:tab/>
            </w:r>
            <w:r>
              <w:rPr>
                <w:noProof/>
                <w:webHidden/>
              </w:rPr>
              <w:fldChar w:fldCharType="begin"/>
            </w:r>
            <w:r>
              <w:rPr>
                <w:noProof/>
                <w:webHidden/>
              </w:rPr>
              <w:instrText xml:space="preserve"> PAGEREF _Toc523407963 \h </w:instrText>
            </w:r>
            <w:r>
              <w:rPr>
                <w:noProof/>
                <w:webHidden/>
              </w:rPr>
            </w:r>
            <w:r>
              <w:rPr>
                <w:noProof/>
                <w:webHidden/>
              </w:rPr>
              <w:fldChar w:fldCharType="separate"/>
            </w:r>
            <w:r>
              <w:rPr>
                <w:noProof/>
                <w:webHidden/>
              </w:rPr>
              <w:t>14</w:t>
            </w:r>
            <w:r>
              <w:rPr>
                <w:noProof/>
                <w:webHidden/>
              </w:rPr>
              <w:fldChar w:fldCharType="end"/>
            </w:r>
          </w:hyperlink>
        </w:p>
        <w:p w14:paraId="40FEC566" w14:textId="2A9F00BF" w:rsidR="002628EA" w:rsidRDefault="002628EA">
          <w:pPr>
            <w:pStyle w:val="TOC3"/>
            <w:tabs>
              <w:tab w:val="right" w:leader="dot" w:pos="10070"/>
            </w:tabs>
            <w:rPr>
              <w:rFonts w:asciiTheme="minorHAnsi" w:eastAsiaTheme="minorEastAsia" w:hAnsiTheme="minorHAnsi"/>
              <w:noProof/>
              <w:sz w:val="22"/>
            </w:rPr>
          </w:pPr>
          <w:hyperlink w:anchor="_Toc523407964" w:history="1">
            <w:r w:rsidRPr="00F52733">
              <w:rPr>
                <w:rStyle w:val="Hyperlink"/>
                <w:noProof/>
              </w:rPr>
              <w:t>Payment arrangements on the housing rental market</w:t>
            </w:r>
            <w:r>
              <w:rPr>
                <w:noProof/>
                <w:webHidden/>
              </w:rPr>
              <w:tab/>
            </w:r>
            <w:r>
              <w:rPr>
                <w:noProof/>
                <w:webHidden/>
              </w:rPr>
              <w:fldChar w:fldCharType="begin"/>
            </w:r>
            <w:r>
              <w:rPr>
                <w:noProof/>
                <w:webHidden/>
              </w:rPr>
              <w:instrText xml:space="preserve"> PAGEREF _Toc523407964 \h </w:instrText>
            </w:r>
            <w:r>
              <w:rPr>
                <w:noProof/>
                <w:webHidden/>
              </w:rPr>
            </w:r>
            <w:r>
              <w:rPr>
                <w:noProof/>
                <w:webHidden/>
              </w:rPr>
              <w:fldChar w:fldCharType="separate"/>
            </w:r>
            <w:r>
              <w:rPr>
                <w:noProof/>
                <w:webHidden/>
              </w:rPr>
              <w:t>17</w:t>
            </w:r>
            <w:r>
              <w:rPr>
                <w:noProof/>
                <w:webHidden/>
              </w:rPr>
              <w:fldChar w:fldCharType="end"/>
            </w:r>
          </w:hyperlink>
        </w:p>
        <w:p w14:paraId="08E7B565" w14:textId="3E6093D7" w:rsidR="002628EA" w:rsidRDefault="002628EA">
          <w:pPr>
            <w:pStyle w:val="TOC2"/>
            <w:tabs>
              <w:tab w:val="right" w:leader="dot" w:pos="10070"/>
            </w:tabs>
            <w:rPr>
              <w:rFonts w:asciiTheme="minorHAnsi" w:eastAsiaTheme="minorEastAsia" w:hAnsiTheme="minorHAnsi"/>
              <w:noProof/>
              <w:sz w:val="22"/>
            </w:rPr>
          </w:pPr>
          <w:hyperlink w:anchor="_Toc523407965" w:history="1">
            <w:r w:rsidRPr="00F52733">
              <w:rPr>
                <w:rStyle w:val="Hyperlink"/>
                <w:noProof/>
              </w:rPr>
              <w:t>Role of Social Networks and Professionalization of the Rental Market</w:t>
            </w:r>
            <w:r>
              <w:rPr>
                <w:noProof/>
                <w:webHidden/>
              </w:rPr>
              <w:tab/>
            </w:r>
            <w:r>
              <w:rPr>
                <w:noProof/>
                <w:webHidden/>
              </w:rPr>
              <w:fldChar w:fldCharType="begin"/>
            </w:r>
            <w:r>
              <w:rPr>
                <w:noProof/>
                <w:webHidden/>
              </w:rPr>
              <w:instrText xml:space="preserve"> PAGEREF _Toc523407965 \h </w:instrText>
            </w:r>
            <w:r>
              <w:rPr>
                <w:noProof/>
                <w:webHidden/>
              </w:rPr>
            </w:r>
            <w:r>
              <w:rPr>
                <w:noProof/>
                <w:webHidden/>
              </w:rPr>
              <w:fldChar w:fldCharType="separate"/>
            </w:r>
            <w:r>
              <w:rPr>
                <w:noProof/>
                <w:webHidden/>
              </w:rPr>
              <w:t>17</w:t>
            </w:r>
            <w:r>
              <w:rPr>
                <w:noProof/>
                <w:webHidden/>
              </w:rPr>
              <w:fldChar w:fldCharType="end"/>
            </w:r>
          </w:hyperlink>
        </w:p>
        <w:p w14:paraId="3C26A747" w14:textId="37B9B64F" w:rsidR="002628EA" w:rsidRDefault="002628EA">
          <w:pPr>
            <w:pStyle w:val="TOC2"/>
            <w:tabs>
              <w:tab w:val="right" w:leader="dot" w:pos="10070"/>
            </w:tabs>
            <w:rPr>
              <w:rFonts w:asciiTheme="minorHAnsi" w:eastAsiaTheme="minorEastAsia" w:hAnsiTheme="minorHAnsi"/>
              <w:noProof/>
              <w:sz w:val="22"/>
            </w:rPr>
          </w:pPr>
          <w:hyperlink w:anchor="_Toc523407966" w:history="1">
            <w:r w:rsidRPr="00F52733">
              <w:rPr>
                <w:rStyle w:val="Hyperlink"/>
                <w:noProof/>
              </w:rPr>
              <w:t>Retention of Housing and Livelihood opportunities in assessed areas</w:t>
            </w:r>
            <w:r>
              <w:rPr>
                <w:noProof/>
                <w:webHidden/>
              </w:rPr>
              <w:tab/>
            </w:r>
            <w:r>
              <w:rPr>
                <w:noProof/>
                <w:webHidden/>
              </w:rPr>
              <w:fldChar w:fldCharType="begin"/>
            </w:r>
            <w:r>
              <w:rPr>
                <w:noProof/>
                <w:webHidden/>
              </w:rPr>
              <w:instrText xml:space="preserve"> PAGEREF _Toc523407966 \h </w:instrText>
            </w:r>
            <w:r>
              <w:rPr>
                <w:noProof/>
                <w:webHidden/>
              </w:rPr>
            </w:r>
            <w:r>
              <w:rPr>
                <w:noProof/>
                <w:webHidden/>
              </w:rPr>
              <w:fldChar w:fldCharType="separate"/>
            </w:r>
            <w:r>
              <w:rPr>
                <w:noProof/>
                <w:webHidden/>
              </w:rPr>
              <w:t>19</w:t>
            </w:r>
            <w:r>
              <w:rPr>
                <w:noProof/>
                <w:webHidden/>
              </w:rPr>
              <w:fldChar w:fldCharType="end"/>
            </w:r>
          </w:hyperlink>
        </w:p>
        <w:p w14:paraId="31EC227D" w14:textId="1DF70D2C" w:rsidR="002628EA" w:rsidRDefault="002628EA">
          <w:pPr>
            <w:pStyle w:val="TOC3"/>
            <w:tabs>
              <w:tab w:val="right" w:leader="dot" w:pos="10070"/>
            </w:tabs>
            <w:rPr>
              <w:rFonts w:asciiTheme="minorHAnsi" w:eastAsiaTheme="minorEastAsia" w:hAnsiTheme="minorHAnsi"/>
              <w:noProof/>
              <w:sz w:val="22"/>
            </w:rPr>
          </w:pPr>
          <w:hyperlink w:anchor="_Toc523407967" w:history="1">
            <w:r w:rsidRPr="00F52733">
              <w:rPr>
                <w:rStyle w:val="Hyperlink"/>
                <w:noProof/>
              </w:rPr>
              <w:t>Livelihood opportunities</w:t>
            </w:r>
            <w:r>
              <w:rPr>
                <w:noProof/>
                <w:webHidden/>
              </w:rPr>
              <w:tab/>
            </w:r>
            <w:r>
              <w:rPr>
                <w:noProof/>
                <w:webHidden/>
              </w:rPr>
              <w:fldChar w:fldCharType="begin"/>
            </w:r>
            <w:r>
              <w:rPr>
                <w:noProof/>
                <w:webHidden/>
              </w:rPr>
              <w:instrText xml:space="preserve"> PAGEREF _Toc523407967 \h </w:instrText>
            </w:r>
            <w:r>
              <w:rPr>
                <w:noProof/>
                <w:webHidden/>
              </w:rPr>
            </w:r>
            <w:r>
              <w:rPr>
                <w:noProof/>
                <w:webHidden/>
              </w:rPr>
              <w:fldChar w:fldCharType="separate"/>
            </w:r>
            <w:r>
              <w:rPr>
                <w:noProof/>
                <w:webHidden/>
              </w:rPr>
              <w:t>19</w:t>
            </w:r>
            <w:r>
              <w:rPr>
                <w:noProof/>
                <w:webHidden/>
              </w:rPr>
              <w:fldChar w:fldCharType="end"/>
            </w:r>
          </w:hyperlink>
        </w:p>
        <w:p w14:paraId="4AF3EB21" w14:textId="4648303E" w:rsidR="002628EA" w:rsidRDefault="002628EA">
          <w:pPr>
            <w:pStyle w:val="TOC3"/>
            <w:tabs>
              <w:tab w:val="right" w:leader="dot" w:pos="10070"/>
            </w:tabs>
            <w:rPr>
              <w:rFonts w:asciiTheme="minorHAnsi" w:eastAsiaTheme="minorEastAsia" w:hAnsiTheme="minorHAnsi"/>
              <w:noProof/>
              <w:sz w:val="22"/>
            </w:rPr>
          </w:pPr>
          <w:hyperlink w:anchor="_Toc523407968" w:history="1">
            <w:r w:rsidRPr="00F52733">
              <w:rPr>
                <w:rStyle w:val="Hyperlink"/>
                <w:noProof/>
              </w:rPr>
              <w:t>Retention of housing</w:t>
            </w:r>
            <w:r>
              <w:rPr>
                <w:noProof/>
                <w:webHidden/>
              </w:rPr>
              <w:tab/>
            </w:r>
            <w:r>
              <w:rPr>
                <w:noProof/>
                <w:webHidden/>
              </w:rPr>
              <w:fldChar w:fldCharType="begin"/>
            </w:r>
            <w:r>
              <w:rPr>
                <w:noProof/>
                <w:webHidden/>
              </w:rPr>
              <w:instrText xml:space="preserve"> PAGEREF _Toc523407968 \h </w:instrText>
            </w:r>
            <w:r>
              <w:rPr>
                <w:noProof/>
                <w:webHidden/>
              </w:rPr>
            </w:r>
            <w:r>
              <w:rPr>
                <w:noProof/>
                <w:webHidden/>
              </w:rPr>
              <w:fldChar w:fldCharType="separate"/>
            </w:r>
            <w:r>
              <w:rPr>
                <w:noProof/>
                <w:webHidden/>
              </w:rPr>
              <w:t>21</w:t>
            </w:r>
            <w:r>
              <w:rPr>
                <w:noProof/>
                <w:webHidden/>
              </w:rPr>
              <w:fldChar w:fldCharType="end"/>
            </w:r>
          </w:hyperlink>
        </w:p>
        <w:p w14:paraId="0A90230A" w14:textId="1E9597D4" w:rsidR="002628EA" w:rsidRDefault="002628EA">
          <w:pPr>
            <w:pStyle w:val="TOC2"/>
            <w:tabs>
              <w:tab w:val="right" w:leader="dot" w:pos="10070"/>
            </w:tabs>
            <w:rPr>
              <w:rFonts w:asciiTheme="minorHAnsi" w:eastAsiaTheme="minorEastAsia" w:hAnsiTheme="minorHAnsi"/>
              <w:noProof/>
              <w:sz w:val="22"/>
            </w:rPr>
          </w:pPr>
          <w:hyperlink w:anchor="_Toc523407969" w:history="1">
            <w:r w:rsidRPr="00F52733">
              <w:rPr>
                <w:rStyle w:val="Hyperlink"/>
                <w:noProof/>
              </w:rPr>
              <w:t>Community Capacity</w:t>
            </w:r>
            <w:r>
              <w:rPr>
                <w:noProof/>
                <w:webHidden/>
              </w:rPr>
              <w:tab/>
            </w:r>
            <w:r>
              <w:rPr>
                <w:noProof/>
                <w:webHidden/>
              </w:rPr>
              <w:fldChar w:fldCharType="begin"/>
            </w:r>
            <w:r>
              <w:rPr>
                <w:noProof/>
                <w:webHidden/>
              </w:rPr>
              <w:instrText xml:space="preserve"> PAGEREF _Toc523407969 \h </w:instrText>
            </w:r>
            <w:r>
              <w:rPr>
                <w:noProof/>
                <w:webHidden/>
              </w:rPr>
            </w:r>
            <w:r>
              <w:rPr>
                <w:noProof/>
                <w:webHidden/>
              </w:rPr>
              <w:fldChar w:fldCharType="separate"/>
            </w:r>
            <w:r>
              <w:rPr>
                <w:noProof/>
                <w:webHidden/>
              </w:rPr>
              <w:t>21</w:t>
            </w:r>
            <w:r>
              <w:rPr>
                <w:noProof/>
                <w:webHidden/>
              </w:rPr>
              <w:fldChar w:fldCharType="end"/>
            </w:r>
          </w:hyperlink>
        </w:p>
        <w:p w14:paraId="569CE623" w14:textId="5BFEA8E5" w:rsidR="002628EA" w:rsidRDefault="002628EA">
          <w:pPr>
            <w:pStyle w:val="TOC1"/>
            <w:rPr>
              <w:rFonts w:asciiTheme="minorHAnsi" w:eastAsiaTheme="minorEastAsia" w:hAnsiTheme="minorHAnsi"/>
              <w:b w:val="0"/>
              <w:sz w:val="22"/>
            </w:rPr>
          </w:pPr>
          <w:hyperlink w:anchor="_Toc523407970" w:history="1">
            <w:r w:rsidRPr="00F52733">
              <w:rPr>
                <w:rStyle w:val="Hyperlink"/>
              </w:rPr>
              <w:t>CONCLUSIONS</w:t>
            </w:r>
            <w:r>
              <w:rPr>
                <w:webHidden/>
              </w:rPr>
              <w:tab/>
            </w:r>
            <w:r>
              <w:rPr>
                <w:webHidden/>
              </w:rPr>
              <w:fldChar w:fldCharType="begin"/>
            </w:r>
            <w:r>
              <w:rPr>
                <w:webHidden/>
              </w:rPr>
              <w:instrText xml:space="preserve"> PAGEREF _Toc523407970 \h </w:instrText>
            </w:r>
            <w:r>
              <w:rPr>
                <w:webHidden/>
              </w:rPr>
            </w:r>
            <w:r>
              <w:rPr>
                <w:webHidden/>
              </w:rPr>
              <w:fldChar w:fldCharType="separate"/>
            </w:r>
            <w:r>
              <w:rPr>
                <w:webHidden/>
              </w:rPr>
              <w:t>22</w:t>
            </w:r>
            <w:r>
              <w:rPr>
                <w:webHidden/>
              </w:rPr>
              <w:fldChar w:fldCharType="end"/>
            </w:r>
          </w:hyperlink>
        </w:p>
        <w:p w14:paraId="5C35ACB2" w14:textId="48A758DC" w:rsidR="002628EA" w:rsidRDefault="002628EA">
          <w:pPr>
            <w:pStyle w:val="TOC1"/>
            <w:rPr>
              <w:rFonts w:asciiTheme="minorHAnsi" w:eastAsiaTheme="minorEastAsia" w:hAnsiTheme="minorHAnsi"/>
              <w:b w:val="0"/>
              <w:sz w:val="22"/>
            </w:rPr>
          </w:pPr>
          <w:hyperlink w:anchor="_Toc523407971" w:history="1">
            <w:r w:rsidRPr="00F52733">
              <w:rPr>
                <w:rStyle w:val="Hyperlink"/>
              </w:rPr>
              <w:t>KEY FINDINGS AND RECOMMENDATIONS</w:t>
            </w:r>
            <w:r>
              <w:rPr>
                <w:webHidden/>
              </w:rPr>
              <w:tab/>
            </w:r>
            <w:r>
              <w:rPr>
                <w:webHidden/>
              </w:rPr>
              <w:fldChar w:fldCharType="begin"/>
            </w:r>
            <w:r>
              <w:rPr>
                <w:webHidden/>
              </w:rPr>
              <w:instrText xml:space="preserve"> PAGEREF _Toc523407971 \h </w:instrText>
            </w:r>
            <w:r>
              <w:rPr>
                <w:webHidden/>
              </w:rPr>
            </w:r>
            <w:r>
              <w:rPr>
                <w:webHidden/>
              </w:rPr>
              <w:fldChar w:fldCharType="separate"/>
            </w:r>
            <w:r>
              <w:rPr>
                <w:webHidden/>
              </w:rPr>
              <w:t>24</w:t>
            </w:r>
            <w:r>
              <w:rPr>
                <w:webHidden/>
              </w:rPr>
              <w:fldChar w:fldCharType="end"/>
            </w:r>
          </w:hyperlink>
        </w:p>
        <w:p w14:paraId="122F1CA8" w14:textId="6E1A331B" w:rsidR="002628EA" w:rsidRDefault="002628EA">
          <w:pPr>
            <w:pStyle w:val="TOC1"/>
            <w:rPr>
              <w:rFonts w:asciiTheme="minorHAnsi" w:eastAsiaTheme="minorEastAsia" w:hAnsiTheme="minorHAnsi"/>
              <w:b w:val="0"/>
              <w:sz w:val="22"/>
            </w:rPr>
          </w:pPr>
          <w:hyperlink w:anchor="_Toc523407972" w:history="1">
            <w:r w:rsidRPr="00F52733">
              <w:rPr>
                <w:rStyle w:val="Hyperlink"/>
              </w:rPr>
              <w:t>ABBREVIATIONS</w:t>
            </w:r>
            <w:r>
              <w:rPr>
                <w:webHidden/>
              </w:rPr>
              <w:tab/>
            </w:r>
            <w:r>
              <w:rPr>
                <w:webHidden/>
              </w:rPr>
              <w:fldChar w:fldCharType="begin"/>
            </w:r>
            <w:r>
              <w:rPr>
                <w:webHidden/>
              </w:rPr>
              <w:instrText xml:space="preserve"> PAGEREF _Toc523407972 \h </w:instrText>
            </w:r>
            <w:r>
              <w:rPr>
                <w:webHidden/>
              </w:rPr>
            </w:r>
            <w:r>
              <w:rPr>
                <w:webHidden/>
              </w:rPr>
              <w:fldChar w:fldCharType="separate"/>
            </w:r>
            <w:r>
              <w:rPr>
                <w:webHidden/>
              </w:rPr>
              <w:t>25</w:t>
            </w:r>
            <w:r>
              <w:rPr>
                <w:webHidden/>
              </w:rPr>
              <w:fldChar w:fldCharType="end"/>
            </w:r>
          </w:hyperlink>
        </w:p>
        <w:p w14:paraId="346B1367" w14:textId="614F1523" w:rsidR="002628EA" w:rsidRDefault="002628EA">
          <w:pPr>
            <w:pStyle w:val="TOC1"/>
            <w:rPr>
              <w:rFonts w:asciiTheme="minorHAnsi" w:eastAsiaTheme="minorEastAsia" w:hAnsiTheme="minorHAnsi"/>
              <w:b w:val="0"/>
              <w:sz w:val="22"/>
            </w:rPr>
          </w:pPr>
          <w:hyperlink w:anchor="_Toc523407973" w:history="1">
            <w:r w:rsidRPr="00F52733">
              <w:rPr>
                <w:rStyle w:val="Hyperlink"/>
              </w:rPr>
              <w:t>REFERENCES AND RESOURCES</w:t>
            </w:r>
            <w:r>
              <w:rPr>
                <w:webHidden/>
              </w:rPr>
              <w:tab/>
            </w:r>
            <w:r>
              <w:rPr>
                <w:webHidden/>
              </w:rPr>
              <w:fldChar w:fldCharType="begin"/>
            </w:r>
            <w:r>
              <w:rPr>
                <w:webHidden/>
              </w:rPr>
              <w:instrText xml:space="preserve"> PAGEREF _Toc523407973 \h </w:instrText>
            </w:r>
            <w:r>
              <w:rPr>
                <w:webHidden/>
              </w:rPr>
            </w:r>
            <w:r>
              <w:rPr>
                <w:webHidden/>
              </w:rPr>
              <w:fldChar w:fldCharType="separate"/>
            </w:r>
            <w:r>
              <w:rPr>
                <w:webHidden/>
              </w:rPr>
              <w:t>25</w:t>
            </w:r>
            <w:r>
              <w:rPr>
                <w:webHidden/>
              </w:rPr>
              <w:fldChar w:fldCharType="end"/>
            </w:r>
          </w:hyperlink>
        </w:p>
        <w:p w14:paraId="2C1F5E81" w14:textId="1BDCDF68" w:rsidR="00D20B55" w:rsidRPr="00C86EC3" w:rsidRDefault="001B1741" w:rsidP="00C86EC3">
          <w:r>
            <w:rPr>
              <w:b/>
              <w:bCs/>
              <w:noProof/>
            </w:rPr>
            <w:fldChar w:fldCharType="end"/>
          </w:r>
        </w:p>
      </w:sdtContent>
    </w:sdt>
    <w:p w14:paraId="7D840CBD" w14:textId="4B79FEA9" w:rsidR="007E07B6" w:rsidRPr="007E07B6" w:rsidRDefault="007E07B6" w:rsidP="004747CD">
      <w:pPr>
        <w:pStyle w:val="Heading1"/>
      </w:pPr>
      <w:bookmarkStart w:id="0" w:name="_Toc523407948"/>
      <w:r w:rsidRPr="007E07B6">
        <w:lastRenderedPageBreak/>
        <w:t>BACKGROUND</w:t>
      </w:r>
      <w:bookmarkEnd w:id="0"/>
      <w:r w:rsidRPr="007E07B6">
        <w:t xml:space="preserve"> </w:t>
      </w:r>
    </w:p>
    <w:p w14:paraId="2D572979" w14:textId="00325DCA" w:rsidR="001B1741" w:rsidRDefault="001B1741" w:rsidP="009C6EAC">
      <w:pPr>
        <w:rPr>
          <w:rFonts w:cstheme="minorHAnsi"/>
        </w:rPr>
      </w:pPr>
    </w:p>
    <w:p w14:paraId="03DA3288" w14:textId="7656DE10" w:rsidR="007E07B6" w:rsidRDefault="002208C6" w:rsidP="009C6EAC">
      <w:pPr>
        <w:rPr>
          <w:rFonts w:cstheme="minorHAnsi"/>
          <w:bCs/>
        </w:rPr>
      </w:pPr>
      <w:r>
        <w:rPr>
          <w:rFonts w:cstheme="minorHAnsi"/>
          <w:bCs/>
        </w:rPr>
        <w:t>Over half of the</w:t>
      </w:r>
      <w:r w:rsidRPr="002208C6">
        <w:rPr>
          <w:rFonts w:cstheme="minorHAnsi"/>
          <w:bCs/>
        </w:rPr>
        <w:t xml:space="preserve"> </w:t>
      </w:r>
      <w:r w:rsidR="007E07B6" w:rsidRPr="002208C6">
        <w:rPr>
          <w:rFonts w:cstheme="minorHAnsi"/>
          <w:bCs/>
        </w:rPr>
        <w:t>Afghan</w:t>
      </w:r>
      <w:r>
        <w:rPr>
          <w:rFonts w:cstheme="minorHAnsi"/>
          <w:bCs/>
        </w:rPr>
        <w:t xml:space="preserve"> population</w:t>
      </w:r>
      <w:r w:rsidR="007E07B6" w:rsidRPr="002208C6">
        <w:rPr>
          <w:rFonts w:cstheme="minorHAnsi"/>
          <w:bCs/>
        </w:rPr>
        <w:t xml:space="preserve"> live in inadequate housing, </w:t>
      </w:r>
      <w:r>
        <w:rPr>
          <w:rFonts w:cstheme="minorHAnsi"/>
          <w:bCs/>
        </w:rPr>
        <w:t xml:space="preserve">with precarious security of tenure or </w:t>
      </w:r>
      <w:r w:rsidR="007E07B6" w:rsidRPr="002208C6">
        <w:rPr>
          <w:rFonts w:cstheme="minorHAnsi"/>
          <w:bCs/>
        </w:rPr>
        <w:t xml:space="preserve">improperly protected from violence and natural hazards. </w:t>
      </w:r>
      <w:r w:rsidR="00F346F5">
        <w:rPr>
          <w:rFonts w:cstheme="minorHAnsi"/>
          <w:bCs/>
        </w:rPr>
        <w:t xml:space="preserve">For over a decade, </w:t>
      </w:r>
      <w:r w:rsidR="00E13F43">
        <w:rPr>
          <w:rFonts w:cstheme="minorHAnsi"/>
          <w:bCs/>
        </w:rPr>
        <w:t>the Norwegian Refugee Council (</w:t>
      </w:r>
      <w:r w:rsidR="00C435A5" w:rsidRPr="002208C6">
        <w:rPr>
          <w:rFonts w:cstheme="minorHAnsi"/>
          <w:bCs/>
        </w:rPr>
        <w:t>NRC</w:t>
      </w:r>
      <w:r w:rsidR="00E13F43">
        <w:rPr>
          <w:rFonts w:cstheme="minorHAnsi"/>
          <w:bCs/>
        </w:rPr>
        <w:t>)</w:t>
      </w:r>
      <w:r w:rsidR="00C435A5" w:rsidRPr="002208C6">
        <w:rPr>
          <w:rFonts w:cstheme="minorHAnsi"/>
          <w:bCs/>
        </w:rPr>
        <w:t xml:space="preserve"> shelter teams </w:t>
      </w:r>
      <w:r w:rsidR="00B50E81" w:rsidRPr="002208C6">
        <w:rPr>
          <w:rFonts w:cstheme="minorHAnsi"/>
          <w:bCs/>
        </w:rPr>
        <w:t>ha</w:t>
      </w:r>
      <w:r>
        <w:rPr>
          <w:rFonts w:cstheme="minorHAnsi"/>
          <w:bCs/>
        </w:rPr>
        <w:t>ve</w:t>
      </w:r>
      <w:r w:rsidR="00B50E81" w:rsidRPr="002208C6">
        <w:rPr>
          <w:rFonts w:cstheme="minorHAnsi"/>
          <w:bCs/>
        </w:rPr>
        <w:t xml:space="preserve"> been engaged in construction of temporary</w:t>
      </w:r>
      <w:r w:rsidR="0081370C">
        <w:rPr>
          <w:rFonts w:cstheme="minorHAnsi"/>
          <w:bCs/>
        </w:rPr>
        <w:t>,</w:t>
      </w:r>
      <w:r w:rsidR="00B50E81" w:rsidRPr="002208C6">
        <w:rPr>
          <w:rFonts w:cstheme="minorHAnsi"/>
          <w:bCs/>
        </w:rPr>
        <w:t xml:space="preserve"> </w:t>
      </w:r>
      <w:r w:rsidR="007E07B6" w:rsidRPr="002208C6">
        <w:rPr>
          <w:rFonts w:cstheme="minorHAnsi"/>
          <w:bCs/>
        </w:rPr>
        <w:t>transitional and permanent shelters</w:t>
      </w:r>
      <w:r w:rsidR="004C21FF">
        <w:rPr>
          <w:rFonts w:cstheme="minorHAnsi"/>
          <w:bCs/>
        </w:rPr>
        <w:t>,</w:t>
      </w:r>
      <w:r w:rsidR="007E07B6" w:rsidRPr="002208C6">
        <w:rPr>
          <w:rFonts w:cstheme="minorHAnsi"/>
          <w:bCs/>
        </w:rPr>
        <w:t xml:space="preserve"> distribut</w:t>
      </w:r>
      <w:r w:rsidR="00B50E81" w:rsidRPr="002208C6">
        <w:rPr>
          <w:rFonts w:cstheme="minorHAnsi"/>
          <w:bCs/>
        </w:rPr>
        <w:t>ion of c</w:t>
      </w:r>
      <w:r w:rsidR="007E07B6" w:rsidRPr="002208C6">
        <w:rPr>
          <w:rFonts w:cstheme="minorHAnsi"/>
          <w:bCs/>
        </w:rPr>
        <w:t xml:space="preserve">ash for rental support; </w:t>
      </w:r>
      <w:r w:rsidR="00B50E81" w:rsidRPr="002208C6">
        <w:rPr>
          <w:rFonts w:cstheme="minorHAnsi"/>
          <w:bCs/>
        </w:rPr>
        <w:t>construction</w:t>
      </w:r>
      <w:r>
        <w:rPr>
          <w:rFonts w:cstheme="minorHAnsi"/>
          <w:bCs/>
        </w:rPr>
        <w:t>, rehabilitation and expansion</w:t>
      </w:r>
      <w:r w:rsidR="00B50E81" w:rsidRPr="002208C6">
        <w:rPr>
          <w:rFonts w:cstheme="minorHAnsi"/>
          <w:bCs/>
        </w:rPr>
        <w:t xml:space="preserve"> of</w:t>
      </w:r>
      <w:r w:rsidR="007E07B6" w:rsidRPr="002208C6">
        <w:rPr>
          <w:rFonts w:cstheme="minorHAnsi"/>
          <w:bCs/>
        </w:rPr>
        <w:t xml:space="preserve"> schools</w:t>
      </w:r>
      <w:r w:rsidR="004C21FF">
        <w:rPr>
          <w:rFonts w:cstheme="minorHAnsi"/>
          <w:bCs/>
        </w:rPr>
        <w:t>,</w:t>
      </w:r>
      <w:r w:rsidR="007E07B6" w:rsidRPr="002208C6">
        <w:rPr>
          <w:rFonts w:cstheme="minorHAnsi"/>
          <w:bCs/>
        </w:rPr>
        <w:t xml:space="preserve"> </w:t>
      </w:r>
      <w:r w:rsidR="00C42283">
        <w:rPr>
          <w:rFonts w:cstheme="minorHAnsi"/>
          <w:bCs/>
        </w:rPr>
        <w:t xml:space="preserve">active collaboration with the Shelter Cluster </w:t>
      </w:r>
      <w:r w:rsidR="007E07B6" w:rsidRPr="002208C6">
        <w:rPr>
          <w:rFonts w:cstheme="minorHAnsi"/>
          <w:bCs/>
        </w:rPr>
        <w:t>and advoca</w:t>
      </w:r>
      <w:r w:rsidR="00B50E81" w:rsidRPr="002208C6">
        <w:rPr>
          <w:rFonts w:cstheme="minorHAnsi"/>
          <w:bCs/>
        </w:rPr>
        <w:t xml:space="preserve">cy </w:t>
      </w:r>
      <w:r w:rsidR="007E07B6" w:rsidRPr="002208C6">
        <w:rPr>
          <w:rFonts w:cstheme="minorHAnsi"/>
          <w:bCs/>
        </w:rPr>
        <w:t>for shelters to be built to better standard</w:t>
      </w:r>
      <w:r w:rsidR="00F346F5">
        <w:rPr>
          <w:rFonts w:cstheme="minorHAnsi"/>
          <w:bCs/>
        </w:rPr>
        <w:t>s</w:t>
      </w:r>
      <w:r w:rsidR="007E07B6" w:rsidRPr="002208C6">
        <w:rPr>
          <w:rFonts w:cstheme="minorHAnsi"/>
          <w:bCs/>
        </w:rPr>
        <w:t>.</w:t>
      </w:r>
      <w:r w:rsidR="00B50E81" w:rsidRPr="002208C6">
        <w:rPr>
          <w:rFonts w:cstheme="minorHAnsi"/>
          <w:bCs/>
        </w:rPr>
        <w:t xml:space="preserve"> Since w</w:t>
      </w:r>
      <w:r w:rsidR="007E07B6" w:rsidRPr="002208C6">
        <w:rPr>
          <w:rFonts w:cstheme="minorHAnsi"/>
          <w:bCs/>
        </w:rPr>
        <w:t>omen</w:t>
      </w:r>
      <w:r w:rsidR="00B50E81" w:rsidRPr="002208C6">
        <w:rPr>
          <w:rFonts w:cstheme="minorHAnsi"/>
          <w:bCs/>
        </w:rPr>
        <w:t xml:space="preserve"> </w:t>
      </w:r>
      <w:r w:rsidR="007E07B6" w:rsidRPr="002208C6">
        <w:rPr>
          <w:rFonts w:cstheme="minorHAnsi"/>
          <w:bCs/>
        </w:rPr>
        <w:t xml:space="preserve">face </w:t>
      </w:r>
      <w:r w:rsidR="00B50E81" w:rsidRPr="002208C6">
        <w:rPr>
          <w:rFonts w:cstheme="minorHAnsi"/>
          <w:bCs/>
        </w:rPr>
        <w:t xml:space="preserve">particularly strong barriers </w:t>
      </w:r>
      <w:r w:rsidR="007E07B6" w:rsidRPr="002208C6">
        <w:rPr>
          <w:rFonts w:cstheme="minorHAnsi"/>
          <w:bCs/>
        </w:rPr>
        <w:t>in Afghanistan</w:t>
      </w:r>
      <w:r w:rsidR="00B50E81" w:rsidRPr="002208C6">
        <w:rPr>
          <w:rFonts w:cstheme="minorHAnsi"/>
          <w:bCs/>
        </w:rPr>
        <w:t xml:space="preserve">, NRC </w:t>
      </w:r>
      <w:r w:rsidR="00F346F5">
        <w:rPr>
          <w:rFonts w:cstheme="minorHAnsi"/>
          <w:bCs/>
        </w:rPr>
        <w:t>has</w:t>
      </w:r>
      <w:r w:rsidR="007E07B6" w:rsidRPr="002208C6">
        <w:rPr>
          <w:rFonts w:cstheme="minorHAnsi"/>
          <w:bCs/>
        </w:rPr>
        <w:t xml:space="preserve"> </w:t>
      </w:r>
      <w:r w:rsidR="00F346F5">
        <w:rPr>
          <w:rFonts w:cstheme="minorHAnsi"/>
          <w:bCs/>
        </w:rPr>
        <w:t xml:space="preserve">also </w:t>
      </w:r>
      <w:r w:rsidR="007E07B6" w:rsidRPr="002208C6">
        <w:rPr>
          <w:rFonts w:cstheme="minorHAnsi"/>
          <w:bCs/>
        </w:rPr>
        <w:t>integrate</w:t>
      </w:r>
      <w:r w:rsidR="00B50E81" w:rsidRPr="002208C6">
        <w:rPr>
          <w:rFonts w:cstheme="minorHAnsi"/>
          <w:bCs/>
        </w:rPr>
        <w:t>d</w:t>
      </w:r>
      <w:r w:rsidR="007E07B6" w:rsidRPr="002208C6">
        <w:rPr>
          <w:rFonts w:cstheme="minorHAnsi"/>
          <w:bCs/>
        </w:rPr>
        <w:t xml:space="preserve"> gender considerations in programming</w:t>
      </w:r>
      <w:r w:rsidR="00B50E81" w:rsidRPr="002208C6">
        <w:rPr>
          <w:rFonts w:cstheme="minorHAnsi"/>
          <w:bCs/>
        </w:rPr>
        <w:t xml:space="preserve">, working for </w:t>
      </w:r>
      <w:r w:rsidR="00DB3AC1" w:rsidRPr="002208C6">
        <w:rPr>
          <w:rFonts w:cstheme="minorHAnsi"/>
          <w:bCs/>
        </w:rPr>
        <w:t>a</w:t>
      </w:r>
      <w:r w:rsidR="007E07B6" w:rsidRPr="002208C6">
        <w:rPr>
          <w:rFonts w:cstheme="minorHAnsi"/>
          <w:bCs/>
        </w:rPr>
        <w:t xml:space="preserve"> widespread acceptance of women's housing, land and property rights.</w:t>
      </w:r>
      <w:r w:rsidR="007E07B6" w:rsidRPr="00A970E4">
        <w:rPr>
          <w:rFonts w:cstheme="minorHAnsi"/>
          <w:bCs/>
        </w:rPr>
        <w:t xml:space="preserve"> </w:t>
      </w:r>
    </w:p>
    <w:p w14:paraId="64D14A7E" w14:textId="77777777" w:rsidR="00697B6D" w:rsidRPr="00670ED2" w:rsidRDefault="00697B6D" w:rsidP="009C6EAC">
      <w:pPr>
        <w:autoSpaceDE w:val="0"/>
        <w:autoSpaceDN w:val="0"/>
        <w:adjustRightInd w:val="0"/>
        <w:rPr>
          <w:rFonts w:ascii="Calibri" w:hAnsi="Calibri" w:cs="Calibri"/>
          <w:color w:val="833C0B" w:themeColor="accent2" w:themeShade="80"/>
        </w:rPr>
      </w:pPr>
    </w:p>
    <w:p w14:paraId="4C23C1BA" w14:textId="59CF5D07" w:rsidR="00AE5701" w:rsidRDefault="00F346F5" w:rsidP="009C6EAC">
      <w:pPr>
        <w:autoSpaceDE w:val="0"/>
        <w:autoSpaceDN w:val="0"/>
        <w:adjustRightInd w:val="0"/>
        <w:rPr>
          <w:rFonts w:cs="Calibri"/>
        </w:rPr>
      </w:pPr>
      <w:r w:rsidRPr="00A970E4">
        <w:t xml:space="preserve">NRC has been in Afghanistan since 2003, </w:t>
      </w:r>
      <w:r>
        <w:t xml:space="preserve">and in the Eastern region since 2005 </w:t>
      </w:r>
      <w:r w:rsidRPr="00A970E4">
        <w:t>assist</w:t>
      </w:r>
      <w:r w:rsidR="004C21FF">
        <w:t>ing</w:t>
      </w:r>
      <w:r w:rsidRPr="00A970E4">
        <w:t xml:space="preserve"> returning refugees and int</w:t>
      </w:r>
      <w:r>
        <w:t xml:space="preserve">ernally displaced populations. </w:t>
      </w:r>
      <w:r w:rsidR="00670ED2" w:rsidRPr="001129BE">
        <w:rPr>
          <w:rFonts w:cs="Calibri"/>
        </w:rPr>
        <w:t>NRC provides</w:t>
      </w:r>
      <w:r w:rsidR="00A65CD9" w:rsidRPr="001129BE">
        <w:rPr>
          <w:rFonts w:cs="Calibri"/>
        </w:rPr>
        <w:t xml:space="preserve"> </w:t>
      </w:r>
      <w:r w:rsidR="00670ED2" w:rsidRPr="001129BE">
        <w:rPr>
          <w:rFonts w:cs="Calibri"/>
        </w:rPr>
        <w:t>Shelter</w:t>
      </w:r>
      <w:r w:rsidR="00A65CD9" w:rsidRPr="001129BE">
        <w:rPr>
          <w:rFonts w:cs="Calibri"/>
          <w:i/>
        </w:rPr>
        <w:t xml:space="preserve"> for the physical protection and privacy of people affected by displacement, allowing them to lead lives in a safe, supportive and culturally appropriate setting.</w:t>
      </w:r>
      <w:r w:rsidR="00A65CD9" w:rsidRPr="001129BE">
        <w:rPr>
          <w:rStyle w:val="FootnoteReference"/>
          <w:rFonts w:cs="Calibri"/>
        </w:rPr>
        <w:footnoteReference w:id="1"/>
      </w:r>
      <w:r w:rsidR="00A65CD9" w:rsidRPr="001129BE">
        <w:rPr>
          <w:rFonts w:cs="Calibri"/>
        </w:rPr>
        <w:t xml:space="preserve"> </w:t>
      </w:r>
      <w:r w:rsidR="000D54AC">
        <w:rPr>
          <w:rFonts w:cs="Calibri"/>
        </w:rPr>
        <w:t>Traditionally, e</w:t>
      </w:r>
      <w:r w:rsidR="00A65CD9" w:rsidRPr="001129BE">
        <w:rPr>
          <w:rFonts w:cs="Calibri"/>
        </w:rPr>
        <w:t xml:space="preserve">mergency </w:t>
      </w:r>
      <w:r w:rsidR="000D54AC">
        <w:rPr>
          <w:rFonts w:cs="Calibri"/>
        </w:rPr>
        <w:t>s</w:t>
      </w:r>
      <w:r w:rsidR="00A65CD9" w:rsidRPr="001129BE">
        <w:rPr>
          <w:rFonts w:cs="Calibri"/>
        </w:rPr>
        <w:t xml:space="preserve">helter </w:t>
      </w:r>
      <w:r w:rsidR="00670ED2" w:rsidRPr="001129BE">
        <w:rPr>
          <w:rFonts w:cs="Calibri"/>
        </w:rPr>
        <w:t>programing focus</w:t>
      </w:r>
      <w:r w:rsidR="004C21FF">
        <w:rPr>
          <w:rFonts w:cs="Calibri"/>
        </w:rPr>
        <w:t>ed</w:t>
      </w:r>
      <w:r w:rsidR="00670ED2" w:rsidRPr="001129BE">
        <w:rPr>
          <w:rFonts w:cs="Calibri"/>
        </w:rPr>
        <w:t xml:space="preserve"> on</w:t>
      </w:r>
      <w:r w:rsidR="00A65CD9" w:rsidRPr="001129BE">
        <w:rPr>
          <w:rFonts w:cs="Calibri"/>
        </w:rPr>
        <w:t xml:space="preserve"> </w:t>
      </w:r>
      <w:r w:rsidR="004C21FF">
        <w:rPr>
          <w:rFonts w:cs="Calibri"/>
        </w:rPr>
        <w:t xml:space="preserve">providing </w:t>
      </w:r>
      <w:r w:rsidR="00A65CD9" w:rsidRPr="001129BE">
        <w:rPr>
          <w:rFonts w:cs="Calibri"/>
        </w:rPr>
        <w:t>tent</w:t>
      </w:r>
      <w:r w:rsidR="00670ED2" w:rsidRPr="001129BE">
        <w:rPr>
          <w:rFonts w:cs="Calibri"/>
        </w:rPr>
        <w:t>s or construct</w:t>
      </w:r>
      <w:r w:rsidR="004C21FF">
        <w:rPr>
          <w:rFonts w:cs="Calibri"/>
        </w:rPr>
        <w:t xml:space="preserve">ing </w:t>
      </w:r>
      <w:r w:rsidR="00670ED2" w:rsidRPr="001129BE">
        <w:rPr>
          <w:rFonts w:cs="Calibri"/>
        </w:rPr>
        <w:t>transitional and permanent shelter. Recognizing the diverse and changing contexts (e.g. displacement increasingly taking place in urban centers), diversifying approaches is</w:t>
      </w:r>
      <w:r w:rsidR="00A65CD9" w:rsidRPr="001129BE">
        <w:rPr>
          <w:rFonts w:cs="Calibri"/>
        </w:rPr>
        <w:t xml:space="preserve"> </w:t>
      </w:r>
      <w:r w:rsidR="00670ED2" w:rsidRPr="001129BE">
        <w:rPr>
          <w:rFonts w:cs="Calibri"/>
        </w:rPr>
        <w:t>required</w:t>
      </w:r>
      <w:r w:rsidR="00A65CD9" w:rsidRPr="001129BE">
        <w:rPr>
          <w:rFonts w:cs="Calibri"/>
        </w:rPr>
        <w:t xml:space="preserve"> to meet basic shelter needs. </w:t>
      </w:r>
    </w:p>
    <w:p w14:paraId="59851E2B" w14:textId="2364A045" w:rsidR="00D07A85" w:rsidRDefault="00D07A85" w:rsidP="009C6EAC">
      <w:pPr>
        <w:autoSpaceDE w:val="0"/>
        <w:autoSpaceDN w:val="0"/>
        <w:adjustRightInd w:val="0"/>
        <w:rPr>
          <w:rFonts w:cs="Calibri"/>
        </w:rPr>
      </w:pPr>
    </w:p>
    <w:p w14:paraId="66652A62" w14:textId="45FD3E6F" w:rsidR="00D07A85" w:rsidRPr="00C42283" w:rsidRDefault="00D07A85" w:rsidP="00D07A85">
      <w:pPr>
        <w:autoSpaceDE w:val="0"/>
        <w:autoSpaceDN w:val="0"/>
        <w:adjustRightInd w:val="0"/>
        <w:rPr>
          <w:rFonts w:cs="Calibri"/>
        </w:rPr>
      </w:pPr>
      <w:r w:rsidRPr="00A970E4">
        <w:rPr>
          <w:rFonts w:cstheme="minorHAnsi"/>
        </w:rPr>
        <w:t>NRC’ Cash Based Intervention</w:t>
      </w:r>
      <w:r>
        <w:rPr>
          <w:rFonts w:cstheme="minorHAnsi"/>
        </w:rPr>
        <w:t>s in Afghanistan continue to expand in</w:t>
      </w:r>
      <w:r w:rsidRPr="00A970E4">
        <w:rPr>
          <w:rFonts w:cstheme="minorHAnsi"/>
        </w:rPr>
        <w:t xml:space="preserve"> scope.</w:t>
      </w:r>
      <w:r>
        <w:rPr>
          <w:rFonts w:cstheme="minorHAnsi"/>
        </w:rPr>
        <w:t xml:space="preserve"> In 2017 and 2018, NRC increased its support to beneficiaries through</w:t>
      </w:r>
      <w:r w:rsidRPr="00A970E4">
        <w:rPr>
          <w:rFonts w:cstheme="minorHAnsi"/>
        </w:rPr>
        <w:t xml:space="preserve"> </w:t>
      </w:r>
      <w:r w:rsidRPr="00987B7B">
        <w:rPr>
          <w:rFonts w:cstheme="minorHAnsi"/>
        </w:rPr>
        <w:t>Unc</w:t>
      </w:r>
      <w:r>
        <w:rPr>
          <w:rFonts w:cstheme="minorHAnsi"/>
        </w:rPr>
        <w:t>onditional Cash Transfers (UCT) supporting Cash-for-</w:t>
      </w:r>
      <w:r w:rsidRPr="00987B7B">
        <w:rPr>
          <w:rFonts w:cstheme="minorHAnsi"/>
        </w:rPr>
        <w:t>Rent</w:t>
      </w:r>
      <w:r w:rsidR="0081370C">
        <w:rPr>
          <w:rFonts w:cstheme="minorHAnsi"/>
        </w:rPr>
        <w:t xml:space="preserve"> (CfR)</w:t>
      </w:r>
      <w:r w:rsidR="00CD2D65">
        <w:rPr>
          <w:rFonts w:cstheme="minorHAnsi"/>
        </w:rPr>
        <w:t>,</w:t>
      </w:r>
      <w:r>
        <w:rPr>
          <w:rFonts w:cstheme="minorHAnsi"/>
        </w:rPr>
        <w:t xml:space="preserve"> Cash-for-Shelter (C</w:t>
      </w:r>
      <w:r w:rsidR="004C21FF">
        <w:rPr>
          <w:rFonts w:cstheme="minorHAnsi"/>
        </w:rPr>
        <w:t>f</w:t>
      </w:r>
      <w:r>
        <w:rPr>
          <w:rFonts w:cstheme="minorHAnsi"/>
        </w:rPr>
        <w:t xml:space="preserve">S) </w:t>
      </w:r>
      <w:r w:rsidR="007A4ABC">
        <w:rPr>
          <w:rFonts w:cstheme="minorHAnsi"/>
        </w:rPr>
        <w:t>providing</w:t>
      </w:r>
      <w:r w:rsidR="00CD2D65" w:rsidRPr="001129BE">
        <w:rPr>
          <w:rFonts w:cs="Calibri"/>
        </w:rPr>
        <w:t xml:space="preserve"> households with a cash grant to rebuild or repair damaged shelters</w:t>
      </w:r>
      <w:r w:rsidR="00CD2D65" w:rsidRPr="001129BE">
        <w:rPr>
          <w:rStyle w:val="FootnoteReference"/>
          <w:rFonts w:cs="Calibri"/>
        </w:rPr>
        <w:footnoteReference w:id="2"/>
      </w:r>
      <w:r w:rsidR="00CD2D65">
        <w:rPr>
          <w:rFonts w:cs="Calibri"/>
        </w:rPr>
        <w:t xml:space="preserve"> </w:t>
      </w:r>
      <w:r>
        <w:rPr>
          <w:rFonts w:cstheme="minorHAnsi"/>
        </w:rPr>
        <w:t>as well as</w:t>
      </w:r>
      <w:r w:rsidRPr="00987B7B">
        <w:rPr>
          <w:rFonts w:cstheme="minorHAnsi"/>
        </w:rPr>
        <w:t xml:space="preserve"> Cash-for-Work (C</w:t>
      </w:r>
      <w:r w:rsidR="004C21FF">
        <w:rPr>
          <w:rFonts w:cstheme="minorHAnsi"/>
        </w:rPr>
        <w:t>f</w:t>
      </w:r>
      <w:r w:rsidRPr="00987B7B">
        <w:rPr>
          <w:rFonts w:cstheme="minorHAnsi"/>
        </w:rPr>
        <w:t>W).</w:t>
      </w:r>
      <w:r>
        <w:rPr>
          <w:rFonts w:cstheme="minorHAnsi"/>
        </w:rPr>
        <w:t xml:space="preserve"> As </w:t>
      </w:r>
      <w:r w:rsidR="00B779C7">
        <w:rPr>
          <w:rFonts w:cstheme="minorHAnsi"/>
        </w:rPr>
        <w:t xml:space="preserve">significance of </w:t>
      </w:r>
      <w:r w:rsidR="004C21FF">
        <w:rPr>
          <w:rFonts w:cstheme="minorHAnsi"/>
        </w:rPr>
        <w:t>cash-based</w:t>
      </w:r>
      <w:r>
        <w:rPr>
          <w:rFonts w:cstheme="minorHAnsi"/>
        </w:rPr>
        <w:t xml:space="preserve"> interventions </w:t>
      </w:r>
      <w:r w:rsidR="00F24457">
        <w:rPr>
          <w:rFonts w:cstheme="minorHAnsi"/>
        </w:rPr>
        <w:t xml:space="preserve">(CBI) </w:t>
      </w:r>
      <w:r>
        <w:rPr>
          <w:rFonts w:cstheme="minorHAnsi"/>
        </w:rPr>
        <w:t>continue</w:t>
      </w:r>
      <w:r w:rsidR="00AE6DDA">
        <w:rPr>
          <w:rFonts w:cstheme="minorHAnsi"/>
        </w:rPr>
        <w:t>s</w:t>
      </w:r>
      <w:r>
        <w:rPr>
          <w:rFonts w:cstheme="minorHAnsi"/>
        </w:rPr>
        <w:t xml:space="preserve"> to </w:t>
      </w:r>
      <w:r w:rsidR="00AE6DDA">
        <w:rPr>
          <w:rFonts w:cstheme="minorHAnsi"/>
        </w:rPr>
        <w:t xml:space="preserve">grow </w:t>
      </w:r>
      <w:r>
        <w:rPr>
          <w:rFonts w:cstheme="minorHAnsi"/>
        </w:rPr>
        <w:t xml:space="preserve">across the shelter program, further evidence is required </w:t>
      </w:r>
      <w:r w:rsidR="00AE6DDA">
        <w:rPr>
          <w:rFonts w:cstheme="minorHAnsi"/>
        </w:rPr>
        <w:t>to</w:t>
      </w:r>
      <w:r>
        <w:rPr>
          <w:rFonts w:cstheme="minorHAnsi"/>
        </w:rPr>
        <w:t xml:space="preserve"> </w:t>
      </w:r>
      <w:r w:rsidR="00AE6DDA">
        <w:rPr>
          <w:rFonts w:cstheme="minorHAnsi"/>
        </w:rPr>
        <w:t xml:space="preserve">support the </w:t>
      </w:r>
      <w:r w:rsidRPr="00987B7B">
        <w:rPr>
          <w:rFonts w:cstheme="minorHAnsi"/>
        </w:rPr>
        <w:t xml:space="preserve">scaling up </w:t>
      </w:r>
      <w:r w:rsidR="00AE6DDA">
        <w:rPr>
          <w:rFonts w:cstheme="minorHAnsi"/>
        </w:rPr>
        <w:t xml:space="preserve">of </w:t>
      </w:r>
      <w:r>
        <w:rPr>
          <w:rFonts w:cstheme="minorHAnsi"/>
        </w:rPr>
        <w:t xml:space="preserve">CfR in the current Afghan context. There </w:t>
      </w:r>
      <w:r w:rsidR="00D131F3">
        <w:rPr>
          <w:rFonts w:cstheme="minorHAnsi"/>
        </w:rPr>
        <w:t xml:space="preserve">has been </w:t>
      </w:r>
      <w:r>
        <w:rPr>
          <w:rFonts w:cstheme="minorHAnsi"/>
        </w:rPr>
        <w:t>a clear need to conduct a broad assessment</w:t>
      </w:r>
      <w:r w:rsidR="00AE6DDA">
        <w:rPr>
          <w:rFonts w:cstheme="minorHAnsi"/>
        </w:rPr>
        <w:t xml:space="preserve"> of the rental</w:t>
      </w:r>
      <w:r>
        <w:rPr>
          <w:rFonts w:cstheme="minorHAnsi"/>
        </w:rPr>
        <w:t xml:space="preserve"> </w:t>
      </w:r>
      <w:r w:rsidR="00AE6DDA">
        <w:rPr>
          <w:rFonts w:cstheme="minorHAnsi"/>
        </w:rPr>
        <w:t xml:space="preserve">market, </w:t>
      </w:r>
      <w:r>
        <w:rPr>
          <w:rFonts w:cstheme="minorHAnsi"/>
        </w:rPr>
        <w:t>to gather evidence to guide future shelter programming.</w:t>
      </w:r>
    </w:p>
    <w:p w14:paraId="2017F967" w14:textId="77777777" w:rsidR="001B1741" w:rsidRDefault="001B1741" w:rsidP="009C6EAC">
      <w:pPr>
        <w:rPr>
          <w:color w:val="833C0B" w:themeColor="accent2" w:themeShade="80"/>
        </w:rPr>
      </w:pPr>
    </w:p>
    <w:p w14:paraId="52C7A6BB" w14:textId="40455AB1" w:rsidR="00A65CD9" w:rsidRDefault="00AE6DDA" w:rsidP="009C6EAC">
      <w:r>
        <w:t xml:space="preserve">Among the </w:t>
      </w:r>
      <w:r w:rsidR="00A65CD9" w:rsidRPr="001129BE">
        <w:t xml:space="preserve">‘core values’ of CBI </w:t>
      </w:r>
      <w:r w:rsidR="0008102C">
        <w:t xml:space="preserve">is </w:t>
      </w:r>
      <w:r w:rsidR="00CB5FA9">
        <w:t>promoting</w:t>
      </w:r>
      <w:r w:rsidR="0008102C">
        <w:t xml:space="preserve"> </w:t>
      </w:r>
      <w:r w:rsidR="0008102C" w:rsidRPr="001129BE">
        <w:t xml:space="preserve">choice and dignity </w:t>
      </w:r>
      <w:r w:rsidR="0008102C">
        <w:t>of</w:t>
      </w:r>
      <w:r w:rsidR="0008102C" w:rsidRPr="001129BE">
        <w:t xml:space="preserve"> beneficiaries</w:t>
      </w:r>
      <w:r w:rsidR="0008102C">
        <w:t xml:space="preserve">: they </w:t>
      </w:r>
      <w:r w:rsidR="00A65CD9" w:rsidRPr="001129BE">
        <w:t>can set their own priorities</w:t>
      </w:r>
      <w:r w:rsidR="00673291">
        <w:t xml:space="preserve">, </w:t>
      </w:r>
      <w:r w:rsidR="00A65CD9" w:rsidRPr="001129BE">
        <w:t>and kick</w:t>
      </w:r>
      <w:r w:rsidR="00D131F3">
        <w:t>-</w:t>
      </w:r>
      <w:r w:rsidR="00A65CD9" w:rsidRPr="001129BE">
        <w:t>start</w:t>
      </w:r>
      <w:r w:rsidR="00673291">
        <w:t xml:space="preserve"> </w:t>
      </w:r>
      <w:r w:rsidR="00A65CD9" w:rsidRPr="001129BE">
        <w:t>local economies through increase of purchasing power.</w:t>
      </w:r>
      <w:r w:rsidR="0008102C">
        <w:t xml:space="preserve"> For CfR specifically, these principles mean that f</w:t>
      </w:r>
      <w:r w:rsidR="00A65CD9" w:rsidRPr="001129BE">
        <w:t xml:space="preserve">amilies are able </w:t>
      </w:r>
      <w:r w:rsidR="0008102C" w:rsidRPr="00CB5FA9">
        <w:t>— and encouraged —</w:t>
      </w:r>
      <w:r w:rsidR="0008102C">
        <w:rPr>
          <w:rFonts w:ascii="Magneto" w:hAnsi="Magneto"/>
        </w:rPr>
        <w:t xml:space="preserve"> </w:t>
      </w:r>
      <w:r w:rsidR="00DB3AC1" w:rsidRPr="001129BE">
        <w:t>to choose</w:t>
      </w:r>
      <w:r w:rsidR="00A65CD9" w:rsidRPr="001129BE">
        <w:t xml:space="preserve"> where to live. With </w:t>
      </w:r>
      <w:r w:rsidR="00086A01" w:rsidRPr="001129BE">
        <w:t>C</w:t>
      </w:r>
      <w:r w:rsidR="00086A01">
        <w:t>f</w:t>
      </w:r>
      <w:r w:rsidR="00D131F3">
        <w:t>R</w:t>
      </w:r>
      <w:r w:rsidR="00A65CD9" w:rsidRPr="001129BE">
        <w:t xml:space="preserve"> families are able</w:t>
      </w:r>
      <w:r w:rsidR="00D131F3">
        <w:rPr>
          <w:rFonts w:ascii="Magneto" w:hAnsi="Magneto"/>
        </w:rPr>
        <w:t xml:space="preserve"> </w:t>
      </w:r>
      <w:r w:rsidR="00A65CD9" w:rsidRPr="001129BE">
        <w:t xml:space="preserve">to </w:t>
      </w:r>
      <w:r w:rsidR="00842B0F">
        <w:t>access or retain</w:t>
      </w:r>
      <w:r w:rsidR="00A65CD9" w:rsidRPr="001129BE">
        <w:t xml:space="preserve"> accommodation </w:t>
      </w:r>
      <w:r w:rsidR="0008102C">
        <w:t xml:space="preserve">within </w:t>
      </w:r>
      <w:r w:rsidR="00A65CD9" w:rsidRPr="001129BE">
        <w:t>a community network they can rely upon (even if this process might still be challenging</w:t>
      </w:r>
      <w:r w:rsidR="00D131F3">
        <w:t xml:space="preserve"> </w:t>
      </w:r>
      <w:r w:rsidR="00A65CD9" w:rsidRPr="001129BE">
        <w:t xml:space="preserve">for certain groups). </w:t>
      </w:r>
    </w:p>
    <w:p w14:paraId="451BB0D9" w14:textId="77777777" w:rsidR="00086A01" w:rsidRPr="001129BE" w:rsidRDefault="00086A01" w:rsidP="009C6EAC"/>
    <w:p w14:paraId="2A4786DB" w14:textId="57516DE9" w:rsidR="007A07BE" w:rsidRDefault="007D63D4" w:rsidP="009C6EAC">
      <w:r w:rsidRPr="001129BE">
        <w:t>T</w:t>
      </w:r>
      <w:r w:rsidR="00A65CD9" w:rsidRPr="001129BE">
        <w:t xml:space="preserve">hrough </w:t>
      </w:r>
      <w:r w:rsidR="00086A01" w:rsidRPr="001129BE">
        <w:t>C</w:t>
      </w:r>
      <w:r w:rsidR="00086A01">
        <w:t>f</w:t>
      </w:r>
      <w:r w:rsidR="00086A01" w:rsidRPr="001129BE">
        <w:t>R</w:t>
      </w:r>
      <w:r w:rsidR="00A65CD9" w:rsidRPr="001129BE">
        <w:t xml:space="preserve"> a household (HH) receives cash intended to be used for the </w:t>
      </w:r>
      <w:r w:rsidR="0008102C">
        <w:t xml:space="preserve">paying the rent for and </w:t>
      </w:r>
      <w:r w:rsidR="00A65CD9" w:rsidRPr="001129BE">
        <w:t xml:space="preserve">accommodation under an agreement with a landlord/landlady, </w:t>
      </w:r>
      <w:r w:rsidR="00DB3AC1" w:rsidRPr="001129BE">
        <w:t>property</w:t>
      </w:r>
      <w:r w:rsidR="00A65CD9" w:rsidRPr="001129BE">
        <w:t xml:space="preserve"> owner, manager or broker.</w:t>
      </w:r>
      <w:r w:rsidR="00697B6D" w:rsidRPr="001129BE">
        <w:t xml:space="preserve"> </w:t>
      </w:r>
      <w:r w:rsidR="0008102C">
        <w:t>CfR enables b</w:t>
      </w:r>
      <w:r w:rsidR="00A65CD9" w:rsidRPr="001129BE">
        <w:t xml:space="preserve">eneficiaries </w:t>
      </w:r>
      <w:r w:rsidR="0008102C">
        <w:t xml:space="preserve">to </w:t>
      </w:r>
      <w:r w:rsidR="00A65CD9" w:rsidRPr="001129BE">
        <w:t>secure, access and/or retain adequate housing for a determined amount of time. This approach requires accompaniment to protect the security of tenure of beneficiaries, reducing</w:t>
      </w:r>
      <w:r w:rsidR="00BD1587">
        <w:t xml:space="preserve"> </w:t>
      </w:r>
      <w:r w:rsidR="0008102C">
        <w:t>the risk for</w:t>
      </w:r>
      <w:r w:rsidR="00BD1587">
        <w:t xml:space="preserve"> families </w:t>
      </w:r>
      <w:r w:rsidR="0008102C">
        <w:t>to be</w:t>
      </w:r>
      <w:r w:rsidR="00A65CD9" w:rsidRPr="001129BE">
        <w:t xml:space="preserve"> pushed into debt or evict</w:t>
      </w:r>
      <w:r w:rsidR="00BD1587">
        <w:t>ed</w:t>
      </w:r>
      <w:r w:rsidR="00A65CD9" w:rsidRPr="001129BE">
        <w:t xml:space="preserve">. </w:t>
      </w:r>
      <w:r w:rsidR="00BD1587">
        <w:t>CfR is appropriate</w:t>
      </w:r>
      <w:r w:rsidR="00BD1587" w:rsidRPr="001129BE">
        <w:t xml:space="preserve"> </w:t>
      </w:r>
      <w:r w:rsidR="00A65CD9" w:rsidRPr="001129BE">
        <w:t>where displaced families are already renting accommodation</w:t>
      </w:r>
      <w:r w:rsidR="0008102C">
        <w:t xml:space="preserve">, </w:t>
      </w:r>
      <w:r w:rsidR="00BD1587">
        <w:t xml:space="preserve">where housing units are available and </w:t>
      </w:r>
      <w:r w:rsidR="00A65CD9" w:rsidRPr="001129BE">
        <w:t>mutual acceptance</w:t>
      </w:r>
      <w:r w:rsidR="00BD1587">
        <w:t xml:space="preserve"> between tenants and landlords exists</w:t>
      </w:r>
      <w:r w:rsidR="00A65CD9" w:rsidRPr="001129BE">
        <w:t xml:space="preserve">. In other words, </w:t>
      </w:r>
      <w:r w:rsidR="001129BE">
        <w:t>CfR</w:t>
      </w:r>
      <w:r w:rsidR="00A65CD9" w:rsidRPr="001129BE">
        <w:t xml:space="preserve"> depends on a functional Local Shelter Market. </w:t>
      </w:r>
    </w:p>
    <w:p w14:paraId="2483BFBD" w14:textId="77777777" w:rsidR="007A07BE" w:rsidRDefault="007A07BE" w:rsidP="007A07BE"/>
    <w:p w14:paraId="0858F1D5" w14:textId="1B7BCFF8" w:rsidR="007A07BE" w:rsidRDefault="0008102C" w:rsidP="009C6EAC">
      <w:r>
        <w:t>The amount of c</w:t>
      </w:r>
      <w:r w:rsidR="007A07BE">
        <w:t xml:space="preserve">ash for rent </w:t>
      </w:r>
      <w:r w:rsidR="00D20B55">
        <w:t xml:space="preserve">payments </w:t>
      </w:r>
      <w:r>
        <w:t xml:space="preserve">should </w:t>
      </w:r>
      <w:r w:rsidR="007A07BE">
        <w:t xml:space="preserve">make it possible for </w:t>
      </w:r>
      <w:r>
        <w:t xml:space="preserve">beneficiaries to </w:t>
      </w:r>
      <w:r w:rsidR="007A07BE" w:rsidRPr="00D20B55">
        <w:t>afford to rent</w:t>
      </w:r>
      <w:r w:rsidR="007A07BE" w:rsidRPr="00113A2B">
        <w:rPr>
          <w:i/>
        </w:rPr>
        <w:t xml:space="preserve"> adequate shelter</w:t>
      </w:r>
      <w:r w:rsidR="007A07BE" w:rsidRPr="00241474">
        <w:t xml:space="preserve"> unit </w:t>
      </w:r>
      <w:r w:rsidR="007A07BE">
        <w:t>that meets</w:t>
      </w:r>
      <w:r w:rsidR="007A07BE" w:rsidRPr="00241474">
        <w:t xml:space="preserve"> </w:t>
      </w:r>
      <w:r w:rsidR="007A07BE" w:rsidRPr="00241474">
        <w:rPr>
          <w:i/>
        </w:rPr>
        <w:t>minimum standards</w:t>
      </w:r>
      <w:r w:rsidR="007A07BE" w:rsidRPr="00241474">
        <w:t xml:space="preserve"> – at </w:t>
      </w:r>
      <w:r w:rsidR="007A07BE" w:rsidRPr="00241474">
        <w:rPr>
          <w:i/>
        </w:rPr>
        <w:t>the rate of the local market</w:t>
      </w:r>
      <w:r w:rsidR="007A07BE" w:rsidRPr="00241474">
        <w:t xml:space="preserve">. </w:t>
      </w:r>
      <w:r>
        <w:t xml:space="preserve">CfR </w:t>
      </w:r>
      <w:r w:rsidR="007A07BE">
        <w:t xml:space="preserve">depends on an adequate estimate of rental market rates: if the assistance is underestimated, </w:t>
      </w:r>
      <w:r w:rsidR="007A07BE" w:rsidRPr="00403C32">
        <w:rPr>
          <w:color w:val="000000" w:themeColor="text1"/>
        </w:rPr>
        <w:t>families in vulnerable conditions will still not be able to secure adequate housing</w:t>
      </w:r>
      <w:r w:rsidR="007A07BE">
        <w:rPr>
          <w:color w:val="000000" w:themeColor="text1"/>
        </w:rPr>
        <w:t>, and if it is overestimated, there is a risk at destabiliz</w:t>
      </w:r>
      <w:r w:rsidR="001209E5">
        <w:rPr>
          <w:color w:val="000000" w:themeColor="text1"/>
        </w:rPr>
        <w:t>ing local market, provoking pric</w:t>
      </w:r>
      <w:r w:rsidR="007A07BE">
        <w:rPr>
          <w:color w:val="000000" w:themeColor="text1"/>
        </w:rPr>
        <w:t>e increase in addition to a host of other negative consequences.</w:t>
      </w:r>
      <w:r w:rsidR="00107279">
        <w:rPr>
          <w:color w:val="000000" w:themeColor="text1"/>
        </w:rPr>
        <w:t xml:space="preserve"> CfR requires an assessment of the technical condition of the available housing stock. </w:t>
      </w:r>
    </w:p>
    <w:p w14:paraId="1D1552B2" w14:textId="77777777" w:rsidR="007A07BE" w:rsidRDefault="007A07BE" w:rsidP="009C6EAC"/>
    <w:p w14:paraId="50542442" w14:textId="61943283" w:rsidR="00A65CD9" w:rsidRPr="00C86EC3" w:rsidRDefault="00A65CD9" w:rsidP="009C6EAC">
      <w:r w:rsidRPr="00C86EC3">
        <w:t xml:space="preserve">Therefore, a </w:t>
      </w:r>
      <w:r w:rsidR="00107279" w:rsidRPr="00C86EC3">
        <w:t xml:space="preserve">Shelter market assessment </w:t>
      </w:r>
      <w:r w:rsidR="00D20B55" w:rsidRPr="00C86EC3">
        <w:t>is</w:t>
      </w:r>
      <w:r w:rsidR="00107279" w:rsidRPr="00C86EC3">
        <w:t xml:space="preserve"> the first </w:t>
      </w:r>
      <w:r w:rsidRPr="00C86EC3">
        <w:t xml:space="preserve">step to set a </w:t>
      </w:r>
      <w:r w:rsidR="002B63EB" w:rsidRPr="00C86EC3">
        <w:t xml:space="preserve">CfR </w:t>
      </w:r>
      <w:r w:rsidRPr="00C86EC3">
        <w:t>program</w:t>
      </w:r>
      <w:r w:rsidR="00107279" w:rsidRPr="00C86EC3">
        <w:t>me</w:t>
      </w:r>
      <w:r w:rsidR="00D20B55" w:rsidRPr="00C86EC3">
        <w:t xml:space="preserve">. </w:t>
      </w:r>
      <w:r w:rsidR="00107279" w:rsidRPr="00C86EC3">
        <w:t xml:space="preserve">This report </w:t>
      </w:r>
      <w:r w:rsidR="00697B6D" w:rsidRPr="00C86EC3">
        <w:t xml:space="preserve">summarizes the findings for the </w:t>
      </w:r>
      <w:r w:rsidR="001209E5" w:rsidRPr="00C86EC3">
        <w:t xml:space="preserve">2018 </w:t>
      </w:r>
      <w:r w:rsidR="00697B6D" w:rsidRPr="00C86EC3">
        <w:t>Shelter Market Assessment conducted by NRC in Easter Afghanistan</w:t>
      </w:r>
      <w:r w:rsidR="00D20B55" w:rsidRPr="00C86EC3">
        <w:t xml:space="preserve"> to assess the adequacy of a CfR intervention.</w:t>
      </w:r>
    </w:p>
    <w:p w14:paraId="46FFC707" w14:textId="77777777" w:rsidR="00D71346" w:rsidRPr="00A65CD9" w:rsidRDefault="00D71346" w:rsidP="009C6EAC">
      <w:pPr>
        <w:rPr>
          <w:color w:val="833C0B" w:themeColor="accent2" w:themeShade="80"/>
        </w:rPr>
      </w:pPr>
    </w:p>
    <w:p w14:paraId="3B1CCAEE" w14:textId="77777777" w:rsidR="000A5265" w:rsidRDefault="000A5265" w:rsidP="000A5265">
      <w:pPr>
        <w:rPr>
          <w:rFonts w:cstheme="minorHAnsi"/>
          <w:bCs/>
        </w:rPr>
      </w:pPr>
      <w:r w:rsidRPr="00A970E4">
        <w:rPr>
          <w:rFonts w:cstheme="minorHAnsi"/>
          <w:bCs/>
        </w:rPr>
        <w:t>The timing of thi</w:t>
      </w:r>
      <w:r>
        <w:rPr>
          <w:rFonts w:cstheme="minorHAnsi"/>
          <w:bCs/>
        </w:rPr>
        <w:t>s shelter market assessment aligns with the current strategic direction of NRC as well as of the</w:t>
      </w:r>
      <w:r w:rsidRPr="00A970E4">
        <w:rPr>
          <w:rFonts w:cstheme="minorHAnsi"/>
          <w:bCs/>
        </w:rPr>
        <w:t xml:space="preserve"> </w:t>
      </w:r>
      <w:r>
        <w:rPr>
          <w:rFonts w:cstheme="minorHAnsi"/>
          <w:bCs/>
        </w:rPr>
        <w:t xml:space="preserve">United Nations Human Settlements Programme (UN-Habitat) and the </w:t>
      </w:r>
      <w:r w:rsidRPr="00A970E4">
        <w:rPr>
          <w:rFonts w:cstheme="minorHAnsi"/>
          <w:bCs/>
        </w:rPr>
        <w:t xml:space="preserve">National </w:t>
      </w:r>
      <w:r>
        <w:rPr>
          <w:rFonts w:cstheme="minorHAnsi"/>
          <w:bCs/>
        </w:rPr>
        <w:t xml:space="preserve">Emergency </w:t>
      </w:r>
      <w:r w:rsidRPr="00A970E4">
        <w:rPr>
          <w:rFonts w:cstheme="minorHAnsi"/>
          <w:bCs/>
        </w:rPr>
        <w:t>Shelter</w:t>
      </w:r>
      <w:r>
        <w:rPr>
          <w:rFonts w:cstheme="minorHAnsi"/>
          <w:bCs/>
        </w:rPr>
        <w:t xml:space="preserve"> and Non-Food Items</w:t>
      </w:r>
      <w:r w:rsidRPr="00A970E4">
        <w:rPr>
          <w:rFonts w:cstheme="minorHAnsi"/>
          <w:bCs/>
        </w:rPr>
        <w:t xml:space="preserve"> Cluster</w:t>
      </w:r>
      <w:r>
        <w:rPr>
          <w:rFonts w:cstheme="minorHAnsi"/>
          <w:bCs/>
        </w:rPr>
        <w:t xml:space="preserve"> (ES/NFI Cluster) at the national and Global levels.  </w:t>
      </w:r>
    </w:p>
    <w:p w14:paraId="756D7F7B" w14:textId="6A942962" w:rsidR="007E07B6" w:rsidRDefault="007E07B6" w:rsidP="009C6EAC">
      <w:pPr>
        <w:rPr>
          <w:rFonts w:cstheme="minorHAnsi"/>
        </w:rPr>
      </w:pPr>
    </w:p>
    <w:p w14:paraId="19E3DBFC" w14:textId="2B88A3C6" w:rsidR="009A0E81" w:rsidRDefault="009A0E81" w:rsidP="00F346F5">
      <w:pPr>
        <w:rPr>
          <w:rFonts w:cstheme="minorHAnsi"/>
          <w:bCs/>
        </w:rPr>
      </w:pPr>
    </w:p>
    <w:p w14:paraId="367A18E7" w14:textId="57E7EEAA" w:rsidR="00CD2D65" w:rsidRDefault="00CD2D65" w:rsidP="00F346F5">
      <w:pPr>
        <w:rPr>
          <w:rFonts w:cstheme="minorHAnsi"/>
          <w:bCs/>
        </w:rPr>
      </w:pPr>
    </w:p>
    <w:p w14:paraId="35A10784" w14:textId="77777777" w:rsidR="007E07B6" w:rsidRPr="004A1490" w:rsidRDefault="00A65CD9" w:rsidP="005603C5">
      <w:pPr>
        <w:pStyle w:val="Heading1"/>
        <w:rPr>
          <w:rFonts w:cstheme="minorHAnsi"/>
        </w:rPr>
      </w:pPr>
      <w:bookmarkStart w:id="1" w:name="_Toc523407949"/>
      <w:r>
        <w:rPr>
          <w:rStyle w:val="Heading1Char"/>
        </w:rPr>
        <w:t>SHELTER MARKET ANALYSIS</w:t>
      </w:r>
      <w:r w:rsidR="009C6EAC">
        <w:rPr>
          <w:rStyle w:val="Heading1Char"/>
        </w:rPr>
        <w:t xml:space="preserve"> AIM AND SCOPE</w:t>
      </w:r>
      <w:bookmarkEnd w:id="1"/>
    </w:p>
    <w:p w14:paraId="7DAA1E2D" w14:textId="77777777" w:rsidR="007E07B6" w:rsidRDefault="007E07B6" w:rsidP="009C6EAC">
      <w:pPr>
        <w:rPr>
          <w:rFonts w:cstheme="minorHAnsi"/>
        </w:rPr>
      </w:pPr>
    </w:p>
    <w:p w14:paraId="0655EEA9" w14:textId="0B8E5AB8" w:rsidR="009C6EAC" w:rsidRPr="00EF5ACC" w:rsidRDefault="007E07B6" w:rsidP="009C6EAC">
      <w:pPr>
        <w:rPr>
          <w:rFonts w:cstheme="minorHAnsi"/>
          <w:bCs/>
        </w:rPr>
      </w:pPr>
      <w:r>
        <w:rPr>
          <w:rFonts w:cstheme="minorHAnsi"/>
        </w:rPr>
        <w:t xml:space="preserve">This research </w:t>
      </w:r>
      <w:r w:rsidR="002630A3">
        <w:rPr>
          <w:rFonts w:cstheme="minorHAnsi"/>
        </w:rPr>
        <w:t xml:space="preserve">aims to </w:t>
      </w:r>
      <w:r w:rsidRPr="00987B7B">
        <w:rPr>
          <w:rFonts w:cstheme="minorHAnsi"/>
        </w:rPr>
        <w:t xml:space="preserve">develop </w:t>
      </w:r>
      <w:r w:rsidR="002630A3">
        <w:rPr>
          <w:rFonts w:cstheme="minorHAnsi"/>
        </w:rPr>
        <w:t xml:space="preserve">evidence-based </w:t>
      </w:r>
      <w:r w:rsidR="002630A3" w:rsidRPr="00987B7B">
        <w:rPr>
          <w:rFonts w:cstheme="minorHAnsi"/>
        </w:rPr>
        <w:t>guida</w:t>
      </w:r>
      <w:r w:rsidR="002630A3">
        <w:rPr>
          <w:rFonts w:cstheme="minorHAnsi"/>
        </w:rPr>
        <w:t>nce</w:t>
      </w:r>
      <w:r w:rsidRPr="00987B7B">
        <w:rPr>
          <w:rFonts w:cstheme="minorHAnsi"/>
        </w:rPr>
        <w:t xml:space="preserve"> </w:t>
      </w:r>
      <w:r w:rsidR="002630A3">
        <w:rPr>
          <w:rFonts w:cstheme="minorHAnsi"/>
        </w:rPr>
        <w:t xml:space="preserve">for </w:t>
      </w:r>
      <w:r w:rsidRPr="00987B7B">
        <w:rPr>
          <w:rFonts w:cstheme="minorHAnsi"/>
        </w:rPr>
        <w:t>quality shelter programming within</w:t>
      </w:r>
      <w:r>
        <w:rPr>
          <w:rFonts w:cstheme="minorHAnsi"/>
        </w:rPr>
        <w:t xml:space="preserve"> Afghanistan with a specific reference to </w:t>
      </w:r>
      <w:r w:rsidR="00682A27" w:rsidRPr="00682A27">
        <w:rPr>
          <w:rFonts w:cstheme="minorHAnsi"/>
        </w:rPr>
        <w:t>Nanagahar</w:t>
      </w:r>
      <w:r>
        <w:rPr>
          <w:rFonts w:cstheme="minorHAnsi"/>
        </w:rPr>
        <w:t xml:space="preserve"> Province</w:t>
      </w:r>
      <w:r w:rsidRPr="00987B7B">
        <w:rPr>
          <w:rFonts w:cstheme="minorHAnsi"/>
        </w:rPr>
        <w:t xml:space="preserve">. </w:t>
      </w:r>
      <w:r w:rsidR="00730DE6">
        <w:rPr>
          <w:rFonts w:cstheme="minorHAnsi"/>
        </w:rPr>
        <w:t>P</w:t>
      </w:r>
      <w:r w:rsidRPr="00987B7B">
        <w:rPr>
          <w:rFonts w:cstheme="minorHAnsi"/>
        </w:rPr>
        <w:t xml:space="preserve">rimarily </w:t>
      </w:r>
      <w:r w:rsidR="00A65CD9" w:rsidRPr="00987B7B">
        <w:rPr>
          <w:rFonts w:cstheme="minorHAnsi"/>
        </w:rPr>
        <w:t>center</w:t>
      </w:r>
      <w:r w:rsidR="00730DE6">
        <w:rPr>
          <w:rFonts w:cstheme="minorHAnsi"/>
        </w:rPr>
        <w:t>ed</w:t>
      </w:r>
      <w:r w:rsidRPr="00987B7B">
        <w:rPr>
          <w:rFonts w:cstheme="minorHAnsi"/>
        </w:rPr>
        <w:t xml:space="preserve"> on Cash for Rent</w:t>
      </w:r>
      <w:r w:rsidR="00D71346">
        <w:rPr>
          <w:rFonts w:cstheme="minorHAnsi"/>
        </w:rPr>
        <w:t xml:space="preserve"> (</w:t>
      </w:r>
      <w:r w:rsidR="001129BE">
        <w:rPr>
          <w:rFonts w:cstheme="minorHAnsi"/>
        </w:rPr>
        <w:t>CfR</w:t>
      </w:r>
      <w:r w:rsidR="00D71346">
        <w:rPr>
          <w:rFonts w:cstheme="minorHAnsi"/>
        </w:rPr>
        <w:t>)</w:t>
      </w:r>
      <w:r w:rsidRPr="00987B7B">
        <w:rPr>
          <w:rFonts w:cstheme="minorHAnsi"/>
        </w:rPr>
        <w:t xml:space="preserve">, within the current rental market </w:t>
      </w:r>
      <w:r w:rsidR="00730DE6">
        <w:rPr>
          <w:rFonts w:cstheme="minorHAnsi"/>
        </w:rPr>
        <w:t>and</w:t>
      </w:r>
      <w:r w:rsidR="00D71346">
        <w:rPr>
          <w:rFonts w:cstheme="minorHAnsi"/>
        </w:rPr>
        <w:t xml:space="preserve"> </w:t>
      </w:r>
      <w:r w:rsidRPr="00987B7B">
        <w:rPr>
          <w:rFonts w:cstheme="minorHAnsi"/>
        </w:rPr>
        <w:t>develop</w:t>
      </w:r>
      <w:r w:rsidR="00730DE6">
        <w:rPr>
          <w:rFonts w:cstheme="minorHAnsi"/>
        </w:rPr>
        <w:t>ing</w:t>
      </w:r>
      <w:r w:rsidRPr="00987B7B">
        <w:rPr>
          <w:rFonts w:cstheme="minorHAnsi"/>
        </w:rPr>
        <w:t xml:space="preserve"> understanding of the</w:t>
      </w:r>
      <w:r w:rsidR="00D71346">
        <w:rPr>
          <w:rFonts w:cstheme="minorHAnsi"/>
        </w:rPr>
        <w:t xml:space="preserve"> potential</w:t>
      </w:r>
      <w:r w:rsidRPr="00987B7B">
        <w:rPr>
          <w:rFonts w:cstheme="minorHAnsi"/>
        </w:rPr>
        <w:t xml:space="preserve"> impact of shelter upgrades and </w:t>
      </w:r>
      <w:r w:rsidR="00B707E7" w:rsidRPr="00B707E7">
        <w:rPr>
          <w:rFonts w:cstheme="minorHAnsi"/>
        </w:rPr>
        <w:t xml:space="preserve">Occupancy Free of Charge </w:t>
      </w:r>
      <w:r w:rsidR="00B707E7">
        <w:rPr>
          <w:rFonts w:cstheme="minorHAnsi"/>
        </w:rPr>
        <w:t>(</w:t>
      </w:r>
      <w:r w:rsidRPr="00987B7B">
        <w:rPr>
          <w:rFonts w:cstheme="minorHAnsi"/>
        </w:rPr>
        <w:t>OFC</w:t>
      </w:r>
      <w:r w:rsidR="00B707E7">
        <w:rPr>
          <w:rFonts w:cstheme="minorHAnsi"/>
        </w:rPr>
        <w:t>)</w:t>
      </w:r>
      <w:r w:rsidR="00F0475A">
        <w:rPr>
          <w:rFonts w:cstheme="minorHAnsi"/>
        </w:rPr>
        <w:t>,</w:t>
      </w:r>
      <w:r w:rsidR="00E57662">
        <w:rPr>
          <w:rFonts w:cstheme="minorHAnsi"/>
        </w:rPr>
        <w:t xml:space="preserve"> </w:t>
      </w:r>
      <w:r>
        <w:rPr>
          <w:rFonts w:cstheme="minorHAnsi"/>
        </w:rPr>
        <w:t xml:space="preserve">cultural </w:t>
      </w:r>
      <w:r w:rsidR="00F0475A">
        <w:rPr>
          <w:rFonts w:cstheme="minorHAnsi"/>
        </w:rPr>
        <w:t>considerations</w:t>
      </w:r>
      <w:r>
        <w:rPr>
          <w:rFonts w:cstheme="minorHAnsi"/>
        </w:rPr>
        <w:t xml:space="preserve"> within the rental market specific to </w:t>
      </w:r>
      <w:r w:rsidR="00682A27">
        <w:rPr>
          <w:rFonts w:cstheme="minorHAnsi"/>
        </w:rPr>
        <w:t>the districts where NRC operates</w:t>
      </w:r>
      <w:r w:rsidR="00730DE6">
        <w:rPr>
          <w:rFonts w:cstheme="minorHAnsi"/>
        </w:rPr>
        <w:t xml:space="preserve"> are also identified and highlighted</w:t>
      </w:r>
      <w:r w:rsidRPr="00987B7B">
        <w:rPr>
          <w:rFonts w:cstheme="minorHAnsi"/>
        </w:rPr>
        <w:t>.</w:t>
      </w:r>
      <w:r w:rsidRPr="00987B7B">
        <w:rPr>
          <w:rFonts w:cstheme="minorHAnsi"/>
          <w:bCs/>
        </w:rPr>
        <w:t xml:space="preserve"> </w:t>
      </w:r>
    </w:p>
    <w:p w14:paraId="18EB015C" w14:textId="69042B82" w:rsidR="007E07B6" w:rsidRPr="00EF5ACC" w:rsidRDefault="007746FF" w:rsidP="009D0F2C">
      <w:pPr>
        <w:pStyle w:val="Heading3"/>
      </w:pPr>
      <w:bookmarkStart w:id="2" w:name="_Toc523407950"/>
      <w:r>
        <w:t>Specific Objectives</w:t>
      </w:r>
      <w:bookmarkEnd w:id="2"/>
    </w:p>
    <w:p w14:paraId="0A9FF6B6" w14:textId="77777777" w:rsidR="00966C66" w:rsidRDefault="007E07B6" w:rsidP="009C6EAC">
      <w:pPr>
        <w:rPr>
          <w:rFonts w:cstheme="minorHAnsi"/>
        </w:rPr>
      </w:pPr>
      <w:r w:rsidRPr="00770BC0">
        <w:rPr>
          <w:rFonts w:cstheme="minorHAnsi"/>
        </w:rPr>
        <w:t xml:space="preserve">This </w:t>
      </w:r>
      <w:r w:rsidRPr="00770BC0">
        <w:rPr>
          <w:rFonts w:cstheme="minorHAnsi"/>
          <w:i/>
        </w:rPr>
        <w:t>Shelter</w:t>
      </w:r>
      <w:r w:rsidRPr="00770BC0">
        <w:rPr>
          <w:rFonts w:cstheme="minorHAnsi"/>
        </w:rPr>
        <w:t xml:space="preserve"> Market Assessment focuses</w:t>
      </w:r>
      <w:r w:rsidRPr="000A4EA0">
        <w:rPr>
          <w:rFonts w:cstheme="minorHAnsi"/>
        </w:rPr>
        <w:t xml:space="preserve"> on </w:t>
      </w:r>
      <w:r w:rsidRPr="000A4EA0">
        <w:rPr>
          <w:rFonts w:cstheme="minorHAnsi"/>
          <w:i/>
        </w:rPr>
        <w:t>affordable housing / rental / secondary units</w:t>
      </w:r>
      <w:r w:rsidRPr="000A4EA0">
        <w:rPr>
          <w:rFonts w:cstheme="minorHAnsi"/>
        </w:rPr>
        <w:t>, and seek</w:t>
      </w:r>
      <w:r w:rsidR="00966C66">
        <w:rPr>
          <w:rFonts w:cstheme="minorHAnsi"/>
        </w:rPr>
        <w:t>s</w:t>
      </w:r>
      <w:r w:rsidRPr="000A4EA0">
        <w:rPr>
          <w:rFonts w:cstheme="minorHAnsi"/>
        </w:rPr>
        <w:t xml:space="preserve"> to understand:</w:t>
      </w:r>
    </w:p>
    <w:p w14:paraId="35C85C80" w14:textId="77777777" w:rsidR="001B1741" w:rsidRPr="000A4EA0" w:rsidRDefault="007E07B6" w:rsidP="009C6EAC">
      <w:pPr>
        <w:rPr>
          <w:rFonts w:cstheme="minorHAnsi"/>
        </w:rPr>
      </w:pPr>
      <w:r w:rsidRPr="000A4EA0">
        <w:rPr>
          <w:rFonts w:cstheme="minorHAnsi"/>
        </w:rPr>
        <w:t xml:space="preserve"> </w:t>
      </w:r>
    </w:p>
    <w:p w14:paraId="62917B6B" w14:textId="30E73237" w:rsidR="007E07B6" w:rsidRPr="00270162" w:rsidRDefault="007E07B6" w:rsidP="000E3D91">
      <w:pPr>
        <w:pStyle w:val="ListParagraph"/>
        <w:numPr>
          <w:ilvl w:val="0"/>
          <w:numId w:val="24"/>
        </w:numPr>
        <w:spacing w:after="60" w:line="240" w:lineRule="auto"/>
        <w:contextualSpacing w:val="0"/>
        <w:jc w:val="both"/>
        <w:rPr>
          <w:rFonts w:cstheme="minorHAnsi"/>
        </w:rPr>
      </w:pPr>
      <w:r w:rsidRPr="00270162">
        <w:rPr>
          <w:rFonts w:cstheme="minorHAnsi"/>
        </w:rPr>
        <w:t xml:space="preserve">Whether </w:t>
      </w:r>
      <w:r w:rsidR="001129BE" w:rsidRPr="00270162">
        <w:rPr>
          <w:rFonts w:cstheme="minorHAnsi"/>
        </w:rPr>
        <w:t>CfR</w:t>
      </w:r>
      <w:r w:rsidRPr="00270162">
        <w:rPr>
          <w:rFonts w:cstheme="minorHAnsi"/>
        </w:rPr>
        <w:t xml:space="preserve"> is an effective way to meet beneficiaries needs – including the need for safe and adequate shelter.</w:t>
      </w:r>
    </w:p>
    <w:p w14:paraId="0238A306" w14:textId="55BE614E" w:rsidR="007E07B6" w:rsidRPr="00270162" w:rsidRDefault="00E91E5A" w:rsidP="000E3D91">
      <w:pPr>
        <w:pStyle w:val="ListParagraph"/>
        <w:numPr>
          <w:ilvl w:val="0"/>
          <w:numId w:val="24"/>
        </w:numPr>
        <w:spacing w:after="60" w:line="240" w:lineRule="auto"/>
        <w:contextualSpacing w:val="0"/>
        <w:jc w:val="both"/>
        <w:rPr>
          <w:rFonts w:cstheme="minorHAnsi"/>
        </w:rPr>
      </w:pPr>
      <w:r>
        <w:rPr>
          <w:rFonts w:cstheme="minorHAnsi"/>
        </w:rPr>
        <w:t>W</w:t>
      </w:r>
      <w:r w:rsidR="007E07B6" w:rsidRPr="00270162">
        <w:rPr>
          <w:rFonts w:cstheme="minorHAnsi"/>
        </w:rPr>
        <w:t xml:space="preserve">hat the impact of </w:t>
      </w:r>
      <w:r w:rsidR="001129BE" w:rsidRPr="00270162">
        <w:rPr>
          <w:rFonts w:cstheme="minorHAnsi"/>
        </w:rPr>
        <w:t>CfR</w:t>
      </w:r>
      <w:r w:rsidR="007E07B6" w:rsidRPr="00270162">
        <w:rPr>
          <w:rFonts w:cstheme="minorHAnsi"/>
        </w:rPr>
        <w:t xml:space="preserve"> </w:t>
      </w:r>
      <w:r w:rsidR="00107279" w:rsidRPr="00270162">
        <w:rPr>
          <w:rFonts w:cstheme="minorHAnsi"/>
        </w:rPr>
        <w:t>over specific intervention periods would be</w:t>
      </w:r>
      <w:r w:rsidR="007E07B6" w:rsidRPr="00270162">
        <w:rPr>
          <w:rFonts w:cstheme="minorHAnsi"/>
        </w:rPr>
        <w:t xml:space="preserve">. </w:t>
      </w:r>
    </w:p>
    <w:p w14:paraId="2DFCBA00" w14:textId="298A4FBE" w:rsidR="00FD5ACB" w:rsidRPr="00EF5ACC" w:rsidRDefault="00E91E5A" w:rsidP="00EF5ACC">
      <w:pPr>
        <w:pStyle w:val="ListParagraph"/>
        <w:numPr>
          <w:ilvl w:val="0"/>
          <w:numId w:val="24"/>
        </w:numPr>
        <w:spacing w:after="120" w:line="240" w:lineRule="auto"/>
        <w:contextualSpacing w:val="0"/>
        <w:jc w:val="both"/>
        <w:rPr>
          <w:rFonts w:cstheme="minorHAnsi"/>
        </w:rPr>
      </w:pPr>
      <w:r>
        <w:rPr>
          <w:rFonts w:cstheme="minorHAnsi"/>
        </w:rPr>
        <w:t>What</w:t>
      </w:r>
      <w:r w:rsidRPr="00270162">
        <w:rPr>
          <w:rFonts w:cstheme="minorHAnsi"/>
        </w:rPr>
        <w:t xml:space="preserve"> </w:t>
      </w:r>
      <w:r w:rsidR="007E07B6" w:rsidRPr="00270162">
        <w:rPr>
          <w:rFonts w:cstheme="minorHAnsi"/>
        </w:rPr>
        <w:t xml:space="preserve">risks and opportunities </w:t>
      </w:r>
      <w:r>
        <w:rPr>
          <w:rFonts w:cstheme="minorHAnsi"/>
        </w:rPr>
        <w:t xml:space="preserve">are </w:t>
      </w:r>
      <w:r w:rsidR="007E07B6" w:rsidRPr="00270162">
        <w:rPr>
          <w:rFonts w:cstheme="minorHAnsi"/>
        </w:rPr>
        <w:t>associated with CBIs</w:t>
      </w:r>
      <w:r w:rsidR="00847923" w:rsidRPr="00270162">
        <w:rPr>
          <w:rFonts w:cstheme="minorHAnsi"/>
        </w:rPr>
        <w:t xml:space="preserve">, how to design </w:t>
      </w:r>
      <w:r w:rsidR="007E07B6" w:rsidRPr="00270162">
        <w:rPr>
          <w:rFonts w:cstheme="minorHAnsi"/>
        </w:rPr>
        <w:t xml:space="preserve">interventions to reduce the risk of harming existing markets and to </w:t>
      </w:r>
      <w:r w:rsidR="007E07B6" w:rsidRPr="00270162">
        <w:rPr>
          <w:rFonts w:cstheme="minorHAnsi"/>
          <w:bCs/>
        </w:rPr>
        <w:t xml:space="preserve">stimulate markets </w:t>
      </w:r>
      <w:r w:rsidR="007E07B6" w:rsidRPr="00270162">
        <w:rPr>
          <w:rFonts w:cstheme="minorHAnsi"/>
        </w:rPr>
        <w:t>and market</w:t>
      </w:r>
      <w:r>
        <w:rPr>
          <w:rFonts w:cstheme="minorHAnsi"/>
        </w:rPr>
        <w:t>-</w:t>
      </w:r>
      <w:r w:rsidR="007E07B6" w:rsidRPr="00270162">
        <w:rPr>
          <w:rFonts w:cstheme="minorHAnsi"/>
        </w:rPr>
        <w:t>linked livelihoods?</w:t>
      </w:r>
      <w:r w:rsidR="001E64DE">
        <w:tab/>
      </w:r>
    </w:p>
    <w:p w14:paraId="3F5B4D7A" w14:textId="2F767421" w:rsidR="00C34A54" w:rsidRDefault="007746FF" w:rsidP="009D0F2C">
      <w:pPr>
        <w:pStyle w:val="Heading3"/>
      </w:pPr>
      <w:bookmarkStart w:id="3" w:name="_Toc523407951"/>
      <w:r>
        <w:t>Key Research Questions</w:t>
      </w:r>
      <w:bookmarkEnd w:id="3"/>
    </w:p>
    <w:p w14:paraId="2CB8080E" w14:textId="01417CB4" w:rsidR="00C34A54" w:rsidRDefault="00C34A54" w:rsidP="00C34A54">
      <w:pPr>
        <w:pStyle w:val="ListParagraph"/>
        <w:spacing w:after="0" w:line="240" w:lineRule="auto"/>
        <w:ind w:left="90" w:hanging="90"/>
        <w:jc w:val="both"/>
        <w:rPr>
          <w:rFonts w:cstheme="minorHAnsi"/>
        </w:rPr>
      </w:pPr>
      <w:r>
        <w:rPr>
          <w:rFonts w:cstheme="minorHAnsi"/>
        </w:rPr>
        <w:t>T</w:t>
      </w:r>
      <w:r w:rsidR="00107279">
        <w:rPr>
          <w:rFonts w:cstheme="minorHAnsi"/>
        </w:rPr>
        <w:t xml:space="preserve">o meet the objectives of the assessment, it is set to answer the </w:t>
      </w:r>
      <w:r>
        <w:rPr>
          <w:rFonts w:cstheme="minorHAnsi"/>
        </w:rPr>
        <w:t>following questions:</w:t>
      </w:r>
    </w:p>
    <w:p w14:paraId="2B19C68C" w14:textId="77777777" w:rsidR="00C34A54" w:rsidRPr="00FC23C9" w:rsidRDefault="00C34A54" w:rsidP="00C34A54">
      <w:pPr>
        <w:pStyle w:val="ListParagraph"/>
        <w:spacing w:after="0" w:line="240" w:lineRule="auto"/>
        <w:ind w:left="0" w:hanging="90"/>
        <w:jc w:val="both"/>
        <w:rPr>
          <w:rFonts w:cstheme="minorHAnsi"/>
          <w:sz w:val="8"/>
          <w:szCs w:val="8"/>
        </w:rPr>
      </w:pPr>
    </w:p>
    <w:p w14:paraId="16E2AAF3" w14:textId="77777777" w:rsidR="00C34A54" w:rsidRPr="001F5E3A" w:rsidRDefault="00C34A54" w:rsidP="000E3D91">
      <w:pPr>
        <w:pStyle w:val="ListParagraph"/>
        <w:numPr>
          <w:ilvl w:val="1"/>
          <w:numId w:val="10"/>
        </w:numPr>
        <w:spacing w:after="60" w:line="240" w:lineRule="auto"/>
        <w:ind w:left="907"/>
        <w:contextualSpacing w:val="0"/>
        <w:jc w:val="both"/>
        <w:rPr>
          <w:rFonts w:cstheme="minorHAnsi"/>
          <w:i/>
        </w:rPr>
      </w:pPr>
      <w:r w:rsidRPr="001F5E3A">
        <w:rPr>
          <w:rFonts w:cstheme="minorHAnsi"/>
          <w:i/>
        </w:rPr>
        <w:t xml:space="preserve">How does </w:t>
      </w:r>
      <w:r>
        <w:rPr>
          <w:rFonts w:cstheme="minorHAnsi"/>
          <w:i/>
        </w:rPr>
        <w:t>CfR</w:t>
      </w:r>
      <w:r w:rsidRPr="001F5E3A">
        <w:rPr>
          <w:rFonts w:cstheme="minorHAnsi"/>
          <w:i/>
        </w:rPr>
        <w:t xml:space="preserve"> meet beneficiary needs and what are the limitations of </w:t>
      </w:r>
      <w:r>
        <w:rPr>
          <w:rFonts w:cstheme="minorHAnsi"/>
          <w:i/>
        </w:rPr>
        <w:t>CfR</w:t>
      </w:r>
      <w:r w:rsidRPr="001F5E3A">
        <w:rPr>
          <w:rFonts w:cstheme="minorHAnsi"/>
          <w:i/>
        </w:rPr>
        <w:t xml:space="preserve">? </w:t>
      </w:r>
    </w:p>
    <w:p w14:paraId="10C4E7B3" w14:textId="77777777" w:rsidR="00C34A54" w:rsidRPr="001F5E3A" w:rsidRDefault="00C34A54" w:rsidP="000E3D91">
      <w:pPr>
        <w:pStyle w:val="ListParagraph"/>
        <w:numPr>
          <w:ilvl w:val="1"/>
          <w:numId w:val="10"/>
        </w:numPr>
        <w:spacing w:after="60" w:line="240" w:lineRule="auto"/>
        <w:ind w:left="907"/>
        <w:contextualSpacing w:val="0"/>
        <w:jc w:val="both"/>
        <w:rPr>
          <w:rFonts w:cstheme="minorHAnsi"/>
          <w:i/>
        </w:rPr>
      </w:pPr>
      <w:r w:rsidRPr="001F5E3A">
        <w:rPr>
          <w:rFonts w:cstheme="minorHAnsi"/>
          <w:i/>
        </w:rPr>
        <w:t xml:space="preserve">Can the housing market respond to an increase in demand as a result of a CBI, in particular </w:t>
      </w:r>
      <w:r>
        <w:rPr>
          <w:rFonts w:cstheme="minorHAnsi"/>
          <w:i/>
        </w:rPr>
        <w:t>CfR</w:t>
      </w:r>
      <w:r w:rsidRPr="001F5E3A">
        <w:rPr>
          <w:rFonts w:cstheme="minorHAnsi"/>
          <w:i/>
        </w:rPr>
        <w:t xml:space="preserve">?  </w:t>
      </w:r>
    </w:p>
    <w:p w14:paraId="6CF97313" w14:textId="77777777" w:rsidR="00C34A54" w:rsidRPr="001F5E3A" w:rsidRDefault="00C34A54" w:rsidP="000E3D91">
      <w:pPr>
        <w:pStyle w:val="ListParagraph"/>
        <w:numPr>
          <w:ilvl w:val="1"/>
          <w:numId w:val="10"/>
        </w:numPr>
        <w:spacing w:after="60" w:line="240" w:lineRule="auto"/>
        <w:ind w:left="907"/>
        <w:contextualSpacing w:val="0"/>
        <w:jc w:val="both"/>
        <w:rPr>
          <w:rFonts w:cstheme="minorHAnsi"/>
          <w:i/>
        </w:rPr>
      </w:pPr>
      <w:r w:rsidRPr="001F5E3A">
        <w:rPr>
          <w:rFonts w:cstheme="minorHAnsi"/>
          <w:i/>
        </w:rPr>
        <w:t>In what way can interventions risk harming existing markets?</w:t>
      </w:r>
    </w:p>
    <w:p w14:paraId="38C090D2" w14:textId="77777777" w:rsidR="00C34A54" w:rsidRPr="001F5E3A" w:rsidRDefault="00C34A54" w:rsidP="000E3D91">
      <w:pPr>
        <w:pStyle w:val="ListParagraph"/>
        <w:numPr>
          <w:ilvl w:val="1"/>
          <w:numId w:val="10"/>
        </w:numPr>
        <w:spacing w:after="60" w:line="240" w:lineRule="auto"/>
        <w:ind w:left="907"/>
        <w:contextualSpacing w:val="0"/>
        <w:jc w:val="both"/>
        <w:rPr>
          <w:rFonts w:cstheme="minorHAnsi"/>
          <w:i/>
        </w:rPr>
      </w:pPr>
      <w:r w:rsidRPr="001F5E3A">
        <w:rPr>
          <w:rFonts w:cstheme="minorHAnsi"/>
          <w:i/>
        </w:rPr>
        <w:t>How can interventions actively support markets and market-linked livelihoods?</w:t>
      </w:r>
    </w:p>
    <w:p w14:paraId="4E8097F0" w14:textId="77777777" w:rsidR="00C34A54" w:rsidRPr="001F5E3A" w:rsidRDefault="00C34A54" w:rsidP="000E3D91">
      <w:pPr>
        <w:pStyle w:val="ListParagraph"/>
        <w:numPr>
          <w:ilvl w:val="1"/>
          <w:numId w:val="10"/>
        </w:numPr>
        <w:spacing w:after="60" w:line="240" w:lineRule="auto"/>
        <w:ind w:left="907"/>
        <w:contextualSpacing w:val="0"/>
        <w:jc w:val="both"/>
        <w:rPr>
          <w:rFonts w:cstheme="minorHAnsi"/>
          <w:i/>
        </w:rPr>
      </w:pPr>
      <w:r w:rsidRPr="001F5E3A">
        <w:rPr>
          <w:rFonts w:cstheme="minorHAnsi"/>
          <w:i/>
        </w:rPr>
        <w:t xml:space="preserve">What impact would up-grade investments in existing properties have on the current rental market? </w:t>
      </w:r>
    </w:p>
    <w:p w14:paraId="3651AF40" w14:textId="77777777" w:rsidR="00C34A54" w:rsidRPr="000D5963" w:rsidRDefault="00C34A54" w:rsidP="000E3D91">
      <w:pPr>
        <w:pStyle w:val="ListParagraph"/>
        <w:numPr>
          <w:ilvl w:val="1"/>
          <w:numId w:val="10"/>
        </w:numPr>
        <w:spacing w:after="60" w:line="240" w:lineRule="auto"/>
        <w:ind w:left="907"/>
        <w:contextualSpacing w:val="0"/>
        <w:jc w:val="both"/>
        <w:rPr>
          <w:rFonts w:cstheme="minorHAnsi"/>
          <w:i/>
        </w:rPr>
      </w:pPr>
      <w:r w:rsidRPr="001F5E3A">
        <w:rPr>
          <w:rFonts w:cstheme="minorHAnsi"/>
          <w:i/>
        </w:rPr>
        <w:t xml:space="preserve">How would the up-grade of shelters effect </w:t>
      </w:r>
      <w:r w:rsidRPr="000D5963">
        <w:rPr>
          <w:rFonts w:cstheme="minorHAnsi"/>
          <w:i/>
        </w:rPr>
        <w:t>the current rental market availability and price?</w:t>
      </w:r>
    </w:p>
    <w:p w14:paraId="5D5B6395" w14:textId="6FC70A36" w:rsidR="00AD150C" w:rsidRPr="00AD150C" w:rsidRDefault="00C34A54" w:rsidP="00AD150C">
      <w:pPr>
        <w:pStyle w:val="ListParagraph"/>
        <w:numPr>
          <w:ilvl w:val="1"/>
          <w:numId w:val="10"/>
        </w:numPr>
        <w:spacing w:after="0" w:line="240" w:lineRule="auto"/>
        <w:jc w:val="both"/>
        <w:rPr>
          <w:rFonts w:cstheme="minorHAnsi"/>
          <w:i/>
        </w:rPr>
      </w:pPr>
      <w:r w:rsidRPr="000D5963">
        <w:rPr>
          <w:rFonts w:cstheme="minorHAnsi"/>
          <w:i/>
        </w:rPr>
        <w:t>What is the optimal period</w:t>
      </w:r>
      <w:r>
        <w:rPr>
          <w:rFonts w:cstheme="minorHAnsi"/>
          <w:i/>
        </w:rPr>
        <w:t xml:space="preserve"> and duration</w:t>
      </w:r>
      <w:r w:rsidRPr="000D5963">
        <w:rPr>
          <w:rFonts w:cstheme="minorHAnsi"/>
          <w:i/>
        </w:rPr>
        <w:t xml:space="preserve"> for </w:t>
      </w:r>
      <w:r>
        <w:rPr>
          <w:rFonts w:cstheme="minorHAnsi"/>
          <w:i/>
        </w:rPr>
        <w:t>CfR</w:t>
      </w:r>
      <w:r w:rsidRPr="000D5963">
        <w:rPr>
          <w:rFonts w:cstheme="minorHAnsi"/>
          <w:i/>
        </w:rPr>
        <w:t xml:space="preserve"> intervention?</w:t>
      </w:r>
    </w:p>
    <w:p w14:paraId="56651C38" w14:textId="526898AB" w:rsidR="007746FF" w:rsidRDefault="00682A27" w:rsidP="009D0F2C">
      <w:pPr>
        <w:pStyle w:val="Heading3"/>
      </w:pPr>
      <w:bookmarkStart w:id="4" w:name="_Toc523407952"/>
      <w:r w:rsidRPr="00682A27">
        <w:t>M</w:t>
      </w:r>
      <w:r w:rsidR="007746FF">
        <w:t>ethodology and Scope of the Market Assessment</w:t>
      </w:r>
      <w:bookmarkEnd w:id="4"/>
    </w:p>
    <w:p w14:paraId="31FE880F" w14:textId="48B7ABB0" w:rsidR="0070147E" w:rsidRDefault="0070147E" w:rsidP="0070147E">
      <w:pPr>
        <w:rPr>
          <w:color w:val="000000" w:themeColor="text1"/>
        </w:rPr>
      </w:pPr>
      <w:r w:rsidRPr="000D5963">
        <w:rPr>
          <w:color w:val="000000" w:themeColor="text1"/>
        </w:rPr>
        <w:t>The Shelter Market Assessment</w:t>
      </w:r>
      <w:r>
        <w:rPr>
          <w:color w:val="000000" w:themeColor="text1"/>
        </w:rPr>
        <w:t xml:space="preserve"> was conducted </w:t>
      </w:r>
      <w:r w:rsidRPr="000D5963">
        <w:rPr>
          <w:color w:val="000000" w:themeColor="text1"/>
        </w:rPr>
        <w:t xml:space="preserve">in </w:t>
      </w:r>
      <w:r>
        <w:rPr>
          <w:color w:val="000000" w:themeColor="text1"/>
        </w:rPr>
        <w:t>8</w:t>
      </w:r>
      <w:r w:rsidRPr="000D5963">
        <w:rPr>
          <w:color w:val="000000" w:themeColor="text1"/>
        </w:rPr>
        <w:t xml:space="preserve"> Districts and </w:t>
      </w:r>
      <w:r>
        <w:rPr>
          <w:color w:val="000000" w:themeColor="text1"/>
        </w:rPr>
        <w:t>27</w:t>
      </w:r>
      <w:r w:rsidRPr="000D5963">
        <w:rPr>
          <w:color w:val="000000" w:themeColor="text1"/>
        </w:rPr>
        <w:t xml:space="preserve"> communities in the catchment areas of the NRC Community Centers and </w:t>
      </w:r>
      <w:r w:rsidRPr="0096028B">
        <w:rPr>
          <w:color w:val="000000" w:themeColor="text1"/>
        </w:rPr>
        <w:t xml:space="preserve">Urban Displacement and Outside of Camp </w:t>
      </w:r>
      <w:r>
        <w:rPr>
          <w:color w:val="000000" w:themeColor="text1"/>
        </w:rPr>
        <w:t>(</w:t>
      </w:r>
      <w:r w:rsidRPr="000D5963">
        <w:rPr>
          <w:color w:val="000000" w:themeColor="text1"/>
        </w:rPr>
        <w:t>UDOC</w:t>
      </w:r>
      <w:r>
        <w:rPr>
          <w:color w:val="000000" w:themeColor="text1"/>
        </w:rPr>
        <w:t>)</w:t>
      </w:r>
      <w:r w:rsidRPr="000D5963">
        <w:rPr>
          <w:color w:val="000000" w:themeColor="text1"/>
        </w:rPr>
        <w:t xml:space="preserve"> </w:t>
      </w:r>
      <w:r w:rsidRPr="0011456F">
        <w:rPr>
          <w:color w:val="000000" w:themeColor="text1"/>
        </w:rPr>
        <w:t xml:space="preserve">Committees in </w:t>
      </w:r>
      <w:r w:rsidRPr="00007930">
        <w:rPr>
          <w:rFonts w:eastAsia="Times New Roman" w:cs="Calibri"/>
          <w:color w:val="000000" w:themeColor="text1"/>
        </w:rPr>
        <w:t>Nangarhar, Kunar and Laghman provinces</w:t>
      </w:r>
      <w:r w:rsidRPr="0011456F">
        <w:rPr>
          <w:color w:val="000000" w:themeColor="text1"/>
        </w:rPr>
        <w:t>.</w:t>
      </w:r>
      <w:r>
        <w:rPr>
          <w:color w:val="000000" w:themeColor="text1"/>
        </w:rPr>
        <w:t xml:space="preserve"> </w:t>
      </w:r>
    </w:p>
    <w:p w14:paraId="795BBB94" w14:textId="77777777" w:rsidR="0070147E" w:rsidRDefault="0070147E" w:rsidP="0070147E">
      <w:pPr>
        <w:rPr>
          <w:color w:val="000000" w:themeColor="text1"/>
        </w:rPr>
      </w:pPr>
    </w:p>
    <w:p w14:paraId="64E9B03E" w14:textId="65081958" w:rsidR="001752E4" w:rsidRDefault="001752E4" w:rsidP="001752E4">
      <w:pPr>
        <w:rPr>
          <w:color w:val="000000" w:themeColor="text1"/>
        </w:rPr>
      </w:pPr>
      <w:r>
        <w:rPr>
          <w:color w:val="000000" w:themeColor="text1"/>
        </w:rPr>
        <w:t>Selected c</w:t>
      </w:r>
      <w:r w:rsidRPr="0082317B">
        <w:rPr>
          <w:color w:val="000000" w:themeColor="text1"/>
        </w:rPr>
        <w:t xml:space="preserve">ommunities </w:t>
      </w:r>
      <w:r>
        <w:rPr>
          <w:color w:val="000000" w:themeColor="text1"/>
        </w:rPr>
        <w:t xml:space="preserve">fit </w:t>
      </w:r>
      <w:r w:rsidRPr="0082317B">
        <w:rPr>
          <w:color w:val="000000" w:themeColor="text1"/>
        </w:rPr>
        <w:t xml:space="preserve">two criteria: </w:t>
      </w:r>
      <w:r>
        <w:rPr>
          <w:color w:val="000000" w:themeColor="text1"/>
        </w:rPr>
        <w:t>(a) they hosted</w:t>
      </w:r>
      <w:r w:rsidRPr="0082317B">
        <w:rPr>
          <w:color w:val="000000" w:themeColor="text1"/>
        </w:rPr>
        <w:t xml:space="preserve"> a significant displaced population</w:t>
      </w:r>
      <w:r>
        <w:rPr>
          <w:color w:val="000000" w:themeColor="text1"/>
        </w:rPr>
        <w:t>,</w:t>
      </w:r>
      <w:r w:rsidRPr="0082317B">
        <w:rPr>
          <w:color w:val="000000" w:themeColor="text1"/>
        </w:rPr>
        <w:t xml:space="preserve"> and</w:t>
      </w:r>
      <w:r>
        <w:rPr>
          <w:color w:val="000000" w:themeColor="text1"/>
        </w:rPr>
        <w:t>, (b)</w:t>
      </w:r>
      <w:r w:rsidRPr="0082317B">
        <w:rPr>
          <w:color w:val="000000" w:themeColor="text1"/>
        </w:rPr>
        <w:t xml:space="preserve"> </w:t>
      </w:r>
      <w:r>
        <w:rPr>
          <w:color w:val="000000" w:themeColor="text1"/>
        </w:rPr>
        <w:t>had</w:t>
      </w:r>
      <w:r w:rsidRPr="0082317B">
        <w:rPr>
          <w:color w:val="000000" w:themeColor="text1"/>
        </w:rPr>
        <w:t xml:space="preserve"> known rental market for housing units. </w:t>
      </w:r>
      <w:r>
        <w:rPr>
          <w:color w:val="000000" w:themeColor="text1"/>
        </w:rPr>
        <w:t xml:space="preserve">Respondents were selected in a combination of </w:t>
      </w:r>
      <w:r w:rsidRPr="001D4A88">
        <w:rPr>
          <w:color w:val="000000" w:themeColor="text1"/>
        </w:rPr>
        <w:t xml:space="preserve">convenience and </w:t>
      </w:r>
      <w:r w:rsidRPr="00D20B55">
        <w:rPr>
          <w:color w:val="000000" w:themeColor="text1"/>
        </w:rPr>
        <w:t>quasi-random sampling</w:t>
      </w:r>
      <w:r>
        <w:rPr>
          <w:color w:val="000000" w:themeColor="text1"/>
        </w:rPr>
        <w:t xml:space="preserve"> from households that were renting at the time of the survey</w:t>
      </w:r>
      <w:r>
        <w:rPr>
          <w:rStyle w:val="FootnoteReference"/>
          <w:color w:val="000000" w:themeColor="text1"/>
        </w:rPr>
        <w:footnoteReference w:id="3"/>
      </w:r>
      <w:r>
        <w:rPr>
          <w:color w:val="000000" w:themeColor="text1"/>
        </w:rPr>
        <w:t xml:space="preserve">. </w:t>
      </w:r>
    </w:p>
    <w:p w14:paraId="37E22BD1" w14:textId="77777777" w:rsidR="001752E4" w:rsidRDefault="001752E4" w:rsidP="001752E4">
      <w:pPr>
        <w:rPr>
          <w:color w:val="000000" w:themeColor="text1"/>
        </w:rPr>
      </w:pPr>
    </w:p>
    <w:p w14:paraId="2B0AD820" w14:textId="239185B2" w:rsidR="001752E4" w:rsidRDefault="0070147E" w:rsidP="004B45F2">
      <w:pPr>
        <w:rPr>
          <w:color w:val="000000" w:themeColor="text1"/>
        </w:rPr>
      </w:pPr>
      <w:r>
        <w:rPr>
          <w:color w:val="000000" w:themeColor="text1"/>
        </w:rPr>
        <w:t>H</w:t>
      </w:r>
      <w:r w:rsidRPr="0082317B">
        <w:rPr>
          <w:color w:val="000000" w:themeColor="text1"/>
        </w:rPr>
        <w:t xml:space="preserve">ouseholds were identified for interview by </w:t>
      </w:r>
      <w:r>
        <w:rPr>
          <w:color w:val="000000" w:themeColor="text1"/>
        </w:rPr>
        <w:t>approaching</w:t>
      </w:r>
      <w:r w:rsidRPr="0082317B">
        <w:rPr>
          <w:color w:val="000000" w:themeColor="text1"/>
        </w:rPr>
        <w:t xml:space="preserve"> one after the other on randomly selected streets. </w:t>
      </w:r>
      <w:r w:rsidR="00CF15AA" w:rsidRPr="0082317B">
        <w:rPr>
          <w:color w:val="000000" w:themeColor="text1"/>
        </w:rPr>
        <w:t xml:space="preserve">An attempt was made to select as many female as male respondents, and for that NRC organized separate male and female </w:t>
      </w:r>
      <w:r w:rsidR="00CF15AA">
        <w:rPr>
          <w:color w:val="000000" w:themeColor="text1"/>
        </w:rPr>
        <w:t>pairs of surveyors</w:t>
      </w:r>
      <w:r w:rsidR="00CF15AA" w:rsidRPr="0082317B">
        <w:rPr>
          <w:color w:val="000000" w:themeColor="text1"/>
        </w:rPr>
        <w:t>.</w:t>
      </w:r>
      <w:r w:rsidR="00CF15AA">
        <w:rPr>
          <w:color w:val="000000" w:themeColor="text1"/>
        </w:rPr>
        <w:t xml:space="preserve"> </w:t>
      </w:r>
      <w:r w:rsidR="001752E4">
        <w:rPr>
          <w:color w:val="000000" w:themeColor="text1"/>
        </w:rPr>
        <w:t xml:space="preserve">Female respondents do </w:t>
      </w:r>
      <w:r w:rsidR="001752E4" w:rsidRPr="00E15650">
        <w:rPr>
          <w:i/>
          <w:color w:val="000000" w:themeColor="text1"/>
        </w:rPr>
        <w:t>not</w:t>
      </w:r>
      <w:r w:rsidR="001752E4">
        <w:rPr>
          <w:color w:val="000000" w:themeColor="text1"/>
        </w:rPr>
        <w:t xml:space="preserve"> necessarily represent female-headed households (FHHHs) but rather a member of the household that was available at the time of the survey. In total, </w:t>
      </w:r>
      <w:r w:rsidR="001752E4" w:rsidRPr="000D5963">
        <w:rPr>
          <w:color w:val="000000" w:themeColor="text1"/>
        </w:rPr>
        <w:t>7</w:t>
      </w:r>
      <w:r w:rsidR="001752E4">
        <w:rPr>
          <w:color w:val="000000" w:themeColor="text1"/>
        </w:rPr>
        <w:t>68</w:t>
      </w:r>
      <w:r w:rsidR="001752E4" w:rsidRPr="000D5963">
        <w:rPr>
          <w:color w:val="000000" w:themeColor="text1"/>
        </w:rPr>
        <w:t xml:space="preserve"> </w:t>
      </w:r>
      <w:r w:rsidR="001752E4">
        <w:rPr>
          <w:color w:val="000000" w:themeColor="text1"/>
        </w:rPr>
        <w:t xml:space="preserve">valid household </w:t>
      </w:r>
      <w:r w:rsidR="001752E4" w:rsidRPr="000D5963">
        <w:rPr>
          <w:color w:val="000000" w:themeColor="text1"/>
        </w:rPr>
        <w:t xml:space="preserve">questionnaires </w:t>
      </w:r>
      <w:r w:rsidR="001752E4">
        <w:rPr>
          <w:color w:val="000000" w:themeColor="text1"/>
        </w:rPr>
        <w:t xml:space="preserve">from 382 female and 386 male respondents </w:t>
      </w:r>
      <w:r w:rsidR="001752E4" w:rsidRPr="000D5963">
        <w:rPr>
          <w:color w:val="000000" w:themeColor="text1"/>
        </w:rPr>
        <w:t>were collected by NRC Shelter Team between April</w:t>
      </w:r>
      <w:r w:rsidR="001752E4">
        <w:rPr>
          <w:color w:val="000000" w:themeColor="text1"/>
        </w:rPr>
        <w:t xml:space="preserve"> 18</w:t>
      </w:r>
      <w:r w:rsidR="001752E4" w:rsidRPr="000D5963">
        <w:rPr>
          <w:color w:val="000000" w:themeColor="text1"/>
        </w:rPr>
        <w:t xml:space="preserve"> and May</w:t>
      </w:r>
      <w:r w:rsidR="001752E4">
        <w:rPr>
          <w:color w:val="000000" w:themeColor="text1"/>
        </w:rPr>
        <w:t xml:space="preserve"> 16</w:t>
      </w:r>
      <w:r w:rsidR="001752E4" w:rsidRPr="000D5963">
        <w:rPr>
          <w:color w:val="000000" w:themeColor="text1"/>
        </w:rPr>
        <w:t>.</w:t>
      </w:r>
    </w:p>
    <w:p w14:paraId="7F4FA5F5" w14:textId="77777777" w:rsidR="001752E4" w:rsidRDefault="001752E4" w:rsidP="004B45F2">
      <w:pPr>
        <w:rPr>
          <w:color w:val="000000" w:themeColor="text1"/>
        </w:rPr>
      </w:pPr>
    </w:p>
    <w:p w14:paraId="22979FEC" w14:textId="54CEA0C6" w:rsidR="00AD150C" w:rsidRDefault="003754BA">
      <w:pPr>
        <w:rPr>
          <w:color w:val="000000" w:themeColor="text1"/>
        </w:rPr>
      </w:pPr>
      <w:r>
        <w:rPr>
          <w:color w:val="000000" w:themeColor="text1"/>
        </w:rPr>
        <w:t>In addition to a household survey, NRC conducted a survey of key informants, landlords and property agents/brokers, to supplement the perspective of the households. The survey of key informants was limited to Nangarhar province, Jalalabad metropolitan area, where 77 key informants were surveyed in 4 districts between April 21 and May 19. Key informants were</w:t>
      </w:r>
      <w:r w:rsidR="001752E4">
        <w:rPr>
          <w:color w:val="000000" w:themeColor="text1"/>
        </w:rPr>
        <w:t xml:space="preserve"> </w:t>
      </w:r>
      <w:r w:rsidR="0070147E" w:rsidRPr="0082317B">
        <w:rPr>
          <w:color w:val="000000" w:themeColor="text1"/>
        </w:rPr>
        <w:t xml:space="preserve">selected through convenience sampling in the same communities – either among the landlords living in the same households, or among brokers that were active in the communities. </w:t>
      </w:r>
    </w:p>
    <w:p w14:paraId="435793CB" w14:textId="77777777" w:rsidR="00AD150C" w:rsidRDefault="00AD150C" w:rsidP="004B45F2">
      <w:pPr>
        <w:rPr>
          <w:color w:val="000000" w:themeColor="text1"/>
        </w:rPr>
      </w:pPr>
    </w:p>
    <w:p w14:paraId="28208DD7" w14:textId="60EE3A52" w:rsidR="0070147E" w:rsidRDefault="00AD150C" w:rsidP="004B45F2">
      <w:pPr>
        <w:rPr>
          <w:color w:val="000000" w:themeColor="text1"/>
        </w:rPr>
      </w:pPr>
      <w:r>
        <w:rPr>
          <w:color w:val="000000" w:themeColor="text1"/>
        </w:rPr>
        <w:t>The survey questionnaires were translated</w:t>
      </w:r>
      <w:r w:rsidRPr="007771AA">
        <w:rPr>
          <w:color w:val="000000" w:themeColor="text1"/>
        </w:rPr>
        <w:t xml:space="preserve"> </w:t>
      </w:r>
      <w:r>
        <w:rPr>
          <w:color w:val="000000" w:themeColor="text1"/>
        </w:rPr>
        <w:t>into Pashto</w:t>
      </w:r>
      <w:r w:rsidR="001752E4">
        <w:rPr>
          <w:color w:val="000000" w:themeColor="text1"/>
        </w:rPr>
        <w:t xml:space="preserve"> and </w:t>
      </w:r>
      <w:r w:rsidRPr="00A47EB8">
        <w:rPr>
          <w:i/>
          <w:color w:val="000000" w:themeColor="text1"/>
        </w:rPr>
        <w:t>Kobotools</w:t>
      </w:r>
      <w:r>
        <w:rPr>
          <w:color w:val="000000" w:themeColor="text1"/>
        </w:rPr>
        <w:t xml:space="preserve"> platform was used for mobile data collection. S</w:t>
      </w:r>
      <w:r w:rsidRPr="007771AA">
        <w:rPr>
          <w:color w:val="000000" w:themeColor="text1"/>
        </w:rPr>
        <w:t>taff</w:t>
      </w:r>
      <w:r>
        <w:rPr>
          <w:color w:val="000000" w:themeColor="text1"/>
        </w:rPr>
        <w:t xml:space="preserve"> </w:t>
      </w:r>
      <w:r w:rsidRPr="007771AA">
        <w:rPr>
          <w:color w:val="000000" w:themeColor="text1"/>
        </w:rPr>
        <w:t>received training on Shelter Market Assessment</w:t>
      </w:r>
      <w:r>
        <w:rPr>
          <w:color w:val="000000" w:themeColor="text1"/>
        </w:rPr>
        <w:t xml:space="preserve">s and CBI and were coached and </w:t>
      </w:r>
      <w:r w:rsidR="003754BA">
        <w:rPr>
          <w:color w:val="000000" w:themeColor="text1"/>
        </w:rPr>
        <w:t>accompanied</w:t>
      </w:r>
      <w:r w:rsidR="00CF15AA">
        <w:rPr>
          <w:color w:val="000000" w:themeColor="text1"/>
        </w:rPr>
        <w:t xml:space="preserve">. </w:t>
      </w:r>
      <w:r w:rsidRPr="007771AA">
        <w:rPr>
          <w:color w:val="000000" w:themeColor="text1"/>
        </w:rPr>
        <w:t xml:space="preserve">through the first days of the assessment.  </w:t>
      </w:r>
    </w:p>
    <w:p w14:paraId="2C829F1C" w14:textId="77777777" w:rsidR="004B45F2" w:rsidRDefault="004B45F2" w:rsidP="0082317B"/>
    <w:p w14:paraId="290F14EC" w14:textId="71E434C6" w:rsidR="004B45F2" w:rsidRDefault="00124056" w:rsidP="009C6EAC">
      <w:pPr>
        <w:rPr>
          <w:color w:val="000000" w:themeColor="text1"/>
        </w:rPr>
      </w:pPr>
      <w:r w:rsidRPr="00E3370E">
        <w:rPr>
          <w:color w:val="000000" w:themeColor="text1"/>
        </w:rPr>
        <w:t>This m</w:t>
      </w:r>
      <w:r w:rsidR="008E1150" w:rsidRPr="00E3370E">
        <w:rPr>
          <w:color w:val="000000" w:themeColor="text1"/>
        </w:rPr>
        <w:t xml:space="preserve">arket </w:t>
      </w:r>
      <w:r w:rsidRPr="00E3370E">
        <w:rPr>
          <w:color w:val="000000" w:themeColor="text1"/>
        </w:rPr>
        <w:t xml:space="preserve">assessment </w:t>
      </w:r>
      <w:r w:rsidR="00673291">
        <w:rPr>
          <w:color w:val="000000" w:themeColor="text1"/>
        </w:rPr>
        <w:t>builds on</w:t>
      </w:r>
      <w:r w:rsidRPr="00E3370E">
        <w:rPr>
          <w:color w:val="000000" w:themeColor="text1"/>
        </w:rPr>
        <w:t xml:space="preserve"> </w:t>
      </w:r>
      <w:r w:rsidR="00673291">
        <w:rPr>
          <w:color w:val="000000" w:themeColor="text1"/>
        </w:rPr>
        <w:t xml:space="preserve">previous studies and </w:t>
      </w:r>
      <w:r w:rsidR="00412D33">
        <w:rPr>
          <w:color w:val="000000" w:themeColor="text1"/>
        </w:rPr>
        <w:t>reports that</w:t>
      </w:r>
      <w:r w:rsidRPr="00E3370E">
        <w:rPr>
          <w:color w:val="000000" w:themeColor="text1"/>
        </w:rPr>
        <w:t xml:space="preserve"> </w:t>
      </w:r>
      <w:r w:rsidR="00673291">
        <w:rPr>
          <w:color w:val="000000" w:themeColor="text1"/>
        </w:rPr>
        <w:t>were instrumental in providing a population analysis, contextualizing the findings, and geographical</w:t>
      </w:r>
      <w:r w:rsidR="003754BA">
        <w:rPr>
          <w:color w:val="000000" w:themeColor="text1"/>
        </w:rPr>
        <w:t>ly</w:t>
      </w:r>
      <w:r w:rsidR="00673291">
        <w:rPr>
          <w:color w:val="000000" w:themeColor="text1"/>
        </w:rPr>
        <w:t xml:space="preserve"> referencing of the data. </w:t>
      </w:r>
      <w:r w:rsidR="00AB49A7">
        <w:rPr>
          <w:color w:val="000000" w:themeColor="text1"/>
        </w:rPr>
        <w:t xml:space="preserve">In particular, the </w:t>
      </w:r>
      <w:r w:rsidR="00673291">
        <w:rPr>
          <w:color w:val="000000" w:themeColor="text1"/>
        </w:rPr>
        <w:t xml:space="preserve">assessment </w:t>
      </w:r>
      <w:r w:rsidR="000F058C">
        <w:rPr>
          <w:color w:val="000000" w:themeColor="text1"/>
        </w:rPr>
        <w:t xml:space="preserve">was designed to test some of the findings of the </w:t>
      </w:r>
      <w:r w:rsidR="00B46C71">
        <w:rPr>
          <w:color w:val="000000" w:themeColor="text1"/>
        </w:rPr>
        <w:t xml:space="preserve">2017 </w:t>
      </w:r>
      <w:r w:rsidR="000F058C">
        <w:rPr>
          <w:color w:val="000000" w:themeColor="text1"/>
        </w:rPr>
        <w:t>Af</w:t>
      </w:r>
      <w:r w:rsidR="00B46C71">
        <w:rPr>
          <w:color w:val="000000" w:themeColor="text1"/>
        </w:rPr>
        <w:t>ghanistan Housing Profile</w:t>
      </w:r>
      <w:r w:rsidR="000F058C">
        <w:rPr>
          <w:rStyle w:val="FootnoteReference"/>
          <w:color w:val="000000" w:themeColor="text1"/>
        </w:rPr>
        <w:footnoteReference w:id="4"/>
      </w:r>
      <w:r w:rsidR="000F058C">
        <w:rPr>
          <w:color w:val="000000" w:themeColor="text1"/>
        </w:rPr>
        <w:t xml:space="preserve">. </w:t>
      </w:r>
      <w:r w:rsidR="00B46C71">
        <w:rPr>
          <w:color w:val="000000" w:themeColor="text1"/>
        </w:rPr>
        <w:t>A 2017</w:t>
      </w:r>
      <w:r w:rsidR="000B5DDC">
        <w:rPr>
          <w:color w:val="000000" w:themeColor="text1"/>
        </w:rPr>
        <w:t xml:space="preserve"> dataset of </w:t>
      </w:r>
      <w:r w:rsidR="000B5DDC" w:rsidRPr="00E3370E">
        <w:rPr>
          <w:color w:val="000000" w:themeColor="text1"/>
        </w:rPr>
        <w:t>IOM Baseline mobility assessment</w:t>
      </w:r>
      <w:r w:rsidR="000B5DDC" w:rsidRPr="00E3370E">
        <w:rPr>
          <w:rStyle w:val="FootnoteReference"/>
          <w:color w:val="000000" w:themeColor="text1"/>
        </w:rPr>
        <w:footnoteReference w:id="5"/>
      </w:r>
      <w:r w:rsidR="000B5DDC">
        <w:rPr>
          <w:color w:val="000000" w:themeColor="text1"/>
        </w:rPr>
        <w:t xml:space="preserve">, the </w:t>
      </w:r>
      <w:r w:rsidR="00B46C71">
        <w:rPr>
          <w:color w:val="000000" w:themeColor="text1"/>
        </w:rPr>
        <w:t xml:space="preserve">2018 </w:t>
      </w:r>
      <w:r w:rsidR="000B5DDC">
        <w:rPr>
          <w:color w:val="000000" w:themeColor="text1"/>
        </w:rPr>
        <w:t>REACH Assessment of Hard-to Reach Areas</w:t>
      </w:r>
      <w:r w:rsidR="000B5DDC">
        <w:rPr>
          <w:rStyle w:val="FootnoteReference"/>
          <w:color w:val="000000" w:themeColor="text1"/>
        </w:rPr>
        <w:footnoteReference w:id="6"/>
      </w:r>
      <w:r w:rsidR="000B5DDC">
        <w:rPr>
          <w:color w:val="000000" w:themeColor="text1"/>
        </w:rPr>
        <w:t xml:space="preserve"> and data provided by Afghanistan Spatial data Center</w:t>
      </w:r>
      <w:r w:rsidR="000B5DDC">
        <w:rPr>
          <w:rStyle w:val="FootnoteReference"/>
          <w:color w:val="000000" w:themeColor="text1"/>
        </w:rPr>
        <w:footnoteReference w:id="7"/>
      </w:r>
      <w:r w:rsidR="000B5DDC">
        <w:rPr>
          <w:color w:val="000000" w:themeColor="text1"/>
        </w:rPr>
        <w:t xml:space="preserve"> were used to extract demographic data on areas and settlements</w:t>
      </w:r>
      <w:r w:rsidR="00E15650">
        <w:rPr>
          <w:color w:val="000000" w:themeColor="text1"/>
        </w:rPr>
        <w:t>, as well as for geo</w:t>
      </w:r>
      <w:r w:rsidR="00FC034B">
        <w:rPr>
          <w:color w:val="000000" w:themeColor="text1"/>
        </w:rPr>
        <w:t xml:space="preserve">-locating </w:t>
      </w:r>
      <w:r w:rsidR="00E15650">
        <w:rPr>
          <w:color w:val="000000" w:themeColor="text1"/>
        </w:rPr>
        <w:t xml:space="preserve">the data of the survey. </w:t>
      </w:r>
    </w:p>
    <w:p w14:paraId="36A19426" w14:textId="2F7D46EB" w:rsidR="007746FF" w:rsidRDefault="007746FF" w:rsidP="009D0F2C">
      <w:pPr>
        <w:pStyle w:val="Heading3"/>
      </w:pPr>
      <w:bookmarkStart w:id="5" w:name="_Toc523407953"/>
      <w:r>
        <w:t>Limitations of the assessment and potential bias</w:t>
      </w:r>
      <w:bookmarkEnd w:id="5"/>
    </w:p>
    <w:p w14:paraId="15764EA9" w14:textId="109AB060" w:rsidR="009C763F" w:rsidRDefault="009C763F" w:rsidP="009C763F">
      <w:r>
        <w:t xml:space="preserve">While proper random sampling is difficult to achieve in Afghanistan due to limitations of access and absence of reliable demographic data, this assessment achieves a high degree of representation for several of the markets analyzed and offers indicative snapshot for other markets. Since the survey was conducted in communities pre-selected by NRC teams where significant displaced population and operational rental markets were present, the survey has a strong bias towards larger settlements, while smaller locations with less significant or less developed rental markets were </w:t>
      </w:r>
      <w:r w:rsidR="000E6268">
        <w:t>not covered</w:t>
      </w:r>
      <w:r>
        <w:t xml:space="preserve">. In particular, </w:t>
      </w:r>
      <w:r w:rsidR="000E6268">
        <w:t xml:space="preserve">peripheral </w:t>
      </w:r>
      <w:r>
        <w:t xml:space="preserve">rural settlements may be underrepresented. </w:t>
      </w:r>
    </w:p>
    <w:p w14:paraId="76B464BC" w14:textId="3DD97AA1" w:rsidR="009C763F" w:rsidRDefault="009C763F" w:rsidP="009C763F">
      <w:pPr>
        <w:tabs>
          <w:tab w:val="left" w:pos="5900"/>
        </w:tabs>
      </w:pPr>
      <w:r>
        <w:tab/>
      </w:r>
    </w:p>
    <w:p w14:paraId="466027A2" w14:textId="3E099786" w:rsidR="009C763F" w:rsidRPr="009B7EBD" w:rsidRDefault="009C763F" w:rsidP="009C6EAC">
      <w:r>
        <w:t>The assessment survey focuses on rental market that serves displaced population and other groups potentially in need of assistance, therefore it is biased towards poor and low-income households. Upper income/wealthy households were explicitly excluded from the survey</w:t>
      </w:r>
      <w:r>
        <w:rPr>
          <w:rStyle w:val="FootnoteReference"/>
        </w:rPr>
        <w:footnoteReference w:id="8"/>
      </w:r>
      <w:r>
        <w:t xml:space="preserve">. Consequently, the current assessment only covers the rental housing market at the service of the poor and vulnerable population. </w:t>
      </w:r>
    </w:p>
    <w:p w14:paraId="504828C9" w14:textId="412EF84D" w:rsidR="006B5182" w:rsidRPr="006B5182" w:rsidRDefault="007746FF" w:rsidP="009D0F2C">
      <w:pPr>
        <w:pStyle w:val="Heading3"/>
      </w:pPr>
      <w:bookmarkStart w:id="6" w:name="_Toc523407954"/>
      <w:r>
        <w:t>Level of analysis</w:t>
      </w:r>
      <w:bookmarkEnd w:id="6"/>
      <w:r w:rsidR="00C627CB">
        <w:t xml:space="preserve"> </w:t>
      </w:r>
    </w:p>
    <w:p w14:paraId="0B4A841A" w14:textId="661DADEA" w:rsidR="00FC034B" w:rsidRDefault="00C627CB" w:rsidP="00C627CB">
      <w:pPr>
        <w:rPr>
          <w:color w:val="000000" w:themeColor="text1"/>
        </w:rPr>
      </w:pPr>
      <w:r>
        <w:rPr>
          <w:color w:val="000000" w:themeColor="text1"/>
        </w:rPr>
        <w:t xml:space="preserve">This market </w:t>
      </w:r>
      <w:r w:rsidR="00B43C6A">
        <w:rPr>
          <w:color w:val="000000" w:themeColor="text1"/>
        </w:rPr>
        <w:t xml:space="preserve">assessment was conducted and analyzed at the level of </w:t>
      </w:r>
      <w:r w:rsidR="00B43C6A" w:rsidRPr="006B5182">
        <w:rPr>
          <w:i/>
          <w:color w:val="000000" w:themeColor="text1"/>
        </w:rPr>
        <w:t>markets (market areas),</w:t>
      </w:r>
      <w:r w:rsidR="00B43C6A">
        <w:rPr>
          <w:color w:val="000000" w:themeColor="text1"/>
        </w:rPr>
        <w:t xml:space="preserve"> which are contiguous built-up areas of settlements or villages, </w:t>
      </w:r>
      <w:r>
        <w:rPr>
          <w:color w:val="000000" w:themeColor="text1"/>
        </w:rPr>
        <w:t xml:space="preserve">that </w:t>
      </w:r>
      <w:r w:rsidR="00B43C6A">
        <w:rPr>
          <w:color w:val="000000" w:themeColor="text1"/>
        </w:rPr>
        <w:t>constitute separate housing market</w:t>
      </w:r>
      <w:r>
        <w:rPr>
          <w:color w:val="000000" w:themeColor="text1"/>
        </w:rPr>
        <w:t>s and share similar characteristics</w:t>
      </w:r>
      <w:r w:rsidR="009B415A">
        <w:rPr>
          <w:color w:val="000000" w:themeColor="text1"/>
        </w:rPr>
        <w:t xml:space="preserve"> (</w:t>
      </w:r>
      <w:r w:rsidR="009B415A" w:rsidRPr="00B76951">
        <w:rPr>
          <w:color w:val="000000" w:themeColor="text1"/>
        </w:rPr>
        <w:fldChar w:fldCharType="begin"/>
      </w:r>
      <w:r w:rsidR="009B415A" w:rsidRPr="00B76951">
        <w:rPr>
          <w:color w:val="000000" w:themeColor="text1"/>
        </w:rPr>
        <w:instrText xml:space="preserve"> REF _Ref523204965 \h </w:instrText>
      </w:r>
      <w:r w:rsidR="009B415A" w:rsidRPr="00B76951">
        <w:rPr>
          <w:color w:val="000000" w:themeColor="text1"/>
        </w:rPr>
      </w:r>
      <w:r w:rsidR="00B76951">
        <w:rPr>
          <w:color w:val="000000" w:themeColor="text1"/>
        </w:rPr>
        <w:instrText xml:space="preserve"> \* MERGEFORMAT </w:instrText>
      </w:r>
      <w:r w:rsidR="009B415A" w:rsidRPr="00B76951">
        <w:rPr>
          <w:color w:val="000000" w:themeColor="text1"/>
        </w:rPr>
        <w:fldChar w:fldCharType="separate"/>
      </w:r>
      <w:r w:rsidR="009001C0" w:rsidRPr="00B76951">
        <w:rPr>
          <w:i/>
        </w:rPr>
        <w:t>Table</w:t>
      </w:r>
      <w:r w:rsidR="009001C0" w:rsidRPr="004514EC">
        <w:rPr>
          <w:i/>
          <w:sz w:val="18"/>
        </w:rPr>
        <w:t xml:space="preserve"> </w:t>
      </w:r>
      <w:r w:rsidR="009001C0">
        <w:rPr>
          <w:i/>
          <w:noProof/>
          <w:sz w:val="18"/>
        </w:rPr>
        <w:t>1</w:t>
      </w:r>
      <w:r w:rsidR="009B415A">
        <w:rPr>
          <w:color w:val="000000" w:themeColor="text1"/>
        </w:rPr>
        <w:fldChar w:fldCharType="end"/>
      </w:r>
      <w:r w:rsidR="009B415A">
        <w:rPr>
          <w:color w:val="000000" w:themeColor="text1"/>
        </w:rPr>
        <w:t>)</w:t>
      </w:r>
      <w:r w:rsidR="00B43C6A">
        <w:rPr>
          <w:color w:val="000000" w:themeColor="text1"/>
        </w:rPr>
        <w:t>.</w:t>
      </w:r>
      <w:r>
        <w:rPr>
          <w:color w:val="000000" w:themeColor="text1"/>
        </w:rPr>
        <w:t xml:space="preserve"> Housing</w:t>
      </w:r>
      <w:r w:rsidR="00B43C6A">
        <w:rPr>
          <w:color w:val="000000" w:themeColor="text1"/>
        </w:rPr>
        <w:t xml:space="preserve"> market areas </w:t>
      </w:r>
      <w:r>
        <w:rPr>
          <w:color w:val="000000" w:themeColor="text1"/>
        </w:rPr>
        <w:t xml:space="preserve">only partially coincide with administrative divisions </w:t>
      </w:r>
      <w:r w:rsidR="00B43C6A">
        <w:rPr>
          <w:color w:val="000000" w:themeColor="text1"/>
        </w:rPr>
        <w:t xml:space="preserve">since built-up areas and settlements </w:t>
      </w:r>
      <w:r>
        <w:rPr>
          <w:color w:val="000000" w:themeColor="text1"/>
        </w:rPr>
        <w:t xml:space="preserve">span across district and provincial borders. Every such market may include one or several settlements. </w:t>
      </w:r>
    </w:p>
    <w:p w14:paraId="2B8FAED9" w14:textId="423397F8" w:rsidR="00C627CB" w:rsidRDefault="00C627CB" w:rsidP="00C627CB">
      <w:pPr>
        <w:rPr>
          <w:color w:val="000000" w:themeColor="text1"/>
        </w:rPr>
      </w:pPr>
    </w:p>
    <w:p w14:paraId="3432F2D2" w14:textId="585957CD" w:rsidR="00C627CB" w:rsidRDefault="00C627CB" w:rsidP="00C627CB">
      <w:pPr>
        <w:rPr>
          <w:color w:val="000000" w:themeColor="text1"/>
        </w:rPr>
      </w:pPr>
      <w:r>
        <w:rPr>
          <w:color w:val="000000" w:themeColor="text1"/>
        </w:rPr>
        <w:t xml:space="preserve">This market assessment was conducted in Afghanistan Eastern region focusing on Jalalabad and surrounding settlements: </w:t>
      </w:r>
      <w:r w:rsidR="004B24F5">
        <w:rPr>
          <w:color w:val="000000" w:themeColor="text1"/>
        </w:rPr>
        <w:t xml:space="preserve">all </w:t>
      </w:r>
      <w:r>
        <w:rPr>
          <w:color w:val="000000" w:themeColor="text1"/>
        </w:rPr>
        <w:t xml:space="preserve">of the markets analyzed are </w:t>
      </w:r>
      <w:r w:rsidR="004B24F5">
        <w:rPr>
          <w:color w:val="000000" w:themeColor="text1"/>
        </w:rPr>
        <w:t>either part of</w:t>
      </w:r>
      <w:r w:rsidR="00487371">
        <w:rPr>
          <w:color w:val="000000" w:themeColor="text1"/>
        </w:rPr>
        <w:t>,</w:t>
      </w:r>
      <w:r w:rsidR="004B24F5">
        <w:rPr>
          <w:color w:val="000000" w:themeColor="text1"/>
        </w:rPr>
        <w:t xml:space="preserve"> or connected to</w:t>
      </w:r>
      <w:r w:rsidR="00487371">
        <w:rPr>
          <w:color w:val="000000" w:themeColor="text1"/>
        </w:rPr>
        <w:t>,</w:t>
      </w:r>
      <w:r w:rsidR="004B24F5">
        <w:rPr>
          <w:color w:val="000000" w:themeColor="text1"/>
        </w:rPr>
        <w:t xml:space="preserve"> the </w:t>
      </w:r>
      <w:r w:rsidRPr="006B5182">
        <w:rPr>
          <w:b/>
          <w:color w:val="000000" w:themeColor="text1"/>
        </w:rPr>
        <w:t>Jalalabad city region</w:t>
      </w:r>
      <w:r>
        <w:rPr>
          <w:color w:val="000000" w:themeColor="text1"/>
        </w:rPr>
        <w:t xml:space="preserve">, a group of settlements </w:t>
      </w:r>
      <w:r w:rsidR="004B24F5">
        <w:rPr>
          <w:color w:val="000000" w:themeColor="text1"/>
        </w:rPr>
        <w:t xml:space="preserve">centered around </w:t>
      </w:r>
      <w:r>
        <w:rPr>
          <w:color w:val="000000" w:themeColor="text1"/>
        </w:rPr>
        <w:t>Jalalabad</w:t>
      </w:r>
      <w:r w:rsidR="004B24F5">
        <w:rPr>
          <w:rStyle w:val="FootnoteReference"/>
          <w:color w:val="000000" w:themeColor="text1"/>
        </w:rPr>
        <w:footnoteReference w:id="9"/>
      </w:r>
      <w:r w:rsidR="001B0803">
        <w:rPr>
          <w:color w:val="000000" w:themeColor="text1"/>
        </w:rPr>
        <w:t xml:space="preserve"> (see </w:t>
      </w:r>
      <w:r w:rsidR="001B0803">
        <w:rPr>
          <w:color w:val="000000" w:themeColor="text1"/>
        </w:rPr>
        <w:fldChar w:fldCharType="begin"/>
      </w:r>
      <w:r w:rsidR="001B0803">
        <w:rPr>
          <w:color w:val="000000" w:themeColor="text1"/>
        </w:rPr>
        <w:instrText xml:space="preserve"> REF _Ref523399292 \h </w:instrText>
      </w:r>
      <w:r w:rsidR="001B0803">
        <w:rPr>
          <w:color w:val="000000" w:themeColor="text1"/>
        </w:rPr>
      </w:r>
      <w:r w:rsidR="001B0803">
        <w:rPr>
          <w:color w:val="000000" w:themeColor="text1"/>
        </w:rPr>
        <w:fldChar w:fldCharType="separate"/>
      </w:r>
      <w:r w:rsidR="001B0803">
        <w:t xml:space="preserve">Figure </w:t>
      </w:r>
      <w:r w:rsidR="001B0803">
        <w:rPr>
          <w:noProof/>
        </w:rPr>
        <w:t>1</w:t>
      </w:r>
      <w:r w:rsidR="001B0803">
        <w:rPr>
          <w:color w:val="000000" w:themeColor="text1"/>
        </w:rPr>
        <w:fldChar w:fldCharType="end"/>
      </w:r>
      <w:r w:rsidR="001B0803">
        <w:rPr>
          <w:color w:val="000000" w:themeColor="text1"/>
        </w:rPr>
        <w:t>)</w:t>
      </w:r>
      <w:r w:rsidR="004B24F5">
        <w:rPr>
          <w:color w:val="000000" w:themeColor="text1"/>
        </w:rPr>
        <w:t>. Within this area, the following market</w:t>
      </w:r>
      <w:r w:rsidR="006E152B">
        <w:rPr>
          <w:color w:val="000000" w:themeColor="text1"/>
        </w:rPr>
        <w:t>s were identified and assessed:</w:t>
      </w:r>
    </w:p>
    <w:p w14:paraId="219A2ECB" w14:textId="77777777" w:rsidR="00C627CB" w:rsidRDefault="00C627CB" w:rsidP="00C627CB">
      <w:pPr>
        <w:rPr>
          <w:color w:val="000000" w:themeColor="text1"/>
        </w:rPr>
      </w:pPr>
    </w:p>
    <w:p w14:paraId="1439550D" w14:textId="2771C760" w:rsidR="0042252E" w:rsidRDefault="00C627CB" w:rsidP="00B27430">
      <w:pPr>
        <w:pStyle w:val="ListParagraph"/>
        <w:numPr>
          <w:ilvl w:val="0"/>
          <w:numId w:val="22"/>
        </w:numPr>
        <w:spacing w:after="0"/>
        <w:ind w:left="360"/>
        <w:jc w:val="both"/>
        <w:rPr>
          <w:color w:val="000000" w:themeColor="text1"/>
        </w:rPr>
      </w:pPr>
      <w:r w:rsidRPr="006F5ECA">
        <w:rPr>
          <w:b/>
          <w:color w:val="000000" w:themeColor="text1"/>
        </w:rPr>
        <w:t>Jalalabad urban area</w:t>
      </w:r>
      <w:r w:rsidR="00B27430">
        <w:rPr>
          <w:rStyle w:val="FootnoteReference"/>
          <w:color w:val="000000" w:themeColor="text1"/>
        </w:rPr>
        <w:footnoteReference w:id="10"/>
      </w:r>
      <w:r w:rsidRPr="006F5ECA">
        <w:rPr>
          <w:b/>
          <w:color w:val="000000" w:themeColor="text1"/>
        </w:rPr>
        <w:t xml:space="preserve"> </w:t>
      </w:r>
      <w:r w:rsidR="00B27430">
        <w:rPr>
          <w:color w:val="000000" w:themeColor="text1"/>
        </w:rPr>
        <w:t>where t</w:t>
      </w:r>
      <w:r w:rsidRPr="006F5ECA">
        <w:rPr>
          <w:color w:val="000000" w:themeColor="text1"/>
        </w:rPr>
        <w:t xml:space="preserve">he analysis offers </w:t>
      </w:r>
      <w:r w:rsidR="004B24F5">
        <w:rPr>
          <w:color w:val="000000" w:themeColor="text1"/>
        </w:rPr>
        <w:t xml:space="preserve">statistically </w:t>
      </w:r>
      <w:r w:rsidRPr="006F5ECA">
        <w:rPr>
          <w:color w:val="000000" w:themeColor="text1"/>
        </w:rPr>
        <w:t>reliable</w:t>
      </w:r>
      <w:r>
        <w:rPr>
          <w:rStyle w:val="FootnoteReference"/>
          <w:color w:val="000000" w:themeColor="text1"/>
        </w:rPr>
        <w:footnoteReference w:id="11"/>
      </w:r>
      <w:r w:rsidRPr="006F5ECA">
        <w:rPr>
          <w:color w:val="000000" w:themeColor="text1"/>
        </w:rPr>
        <w:t xml:space="preserve"> results </w:t>
      </w:r>
      <w:r w:rsidR="00B27430">
        <w:rPr>
          <w:color w:val="000000" w:themeColor="text1"/>
        </w:rPr>
        <w:t>and</w:t>
      </w:r>
      <w:r w:rsidRPr="006F5ECA">
        <w:rPr>
          <w:color w:val="000000" w:themeColor="text1"/>
        </w:rPr>
        <w:t xml:space="preserve"> which </w:t>
      </w:r>
      <w:r w:rsidR="004B24F5">
        <w:rPr>
          <w:color w:val="000000" w:themeColor="text1"/>
        </w:rPr>
        <w:t>is</w:t>
      </w:r>
      <w:r w:rsidRPr="006F5ECA">
        <w:rPr>
          <w:color w:val="000000" w:themeColor="text1"/>
        </w:rPr>
        <w:t xml:space="preserve"> treated as a single market for rental housing</w:t>
      </w:r>
      <w:r w:rsidR="004B24F5">
        <w:rPr>
          <w:color w:val="000000" w:themeColor="text1"/>
        </w:rPr>
        <w:t xml:space="preserve"> </w:t>
      </w:r>
      <w:r w:rsidR="00B27430">
        <w:rPr>
          <w:color w:val="000000" w:themeColor="text1"/>
        </w:rPr>
        <w:t>(</w:t>
      </w:r>
      <w:r w:rsidR="004B24F5">
        <w:rPr>
          <w:color w:val="000000" w:themeColor="text1"/>
        </w:rPr>
        <w:t xml:space="preserve">a contiguous </w:t>
      </w:r>
      <w:r w:rsidR="0042252E">
        <w:rPr>
          <w:color w:val="000000" w:themeColor="text1"/>
        </w:rPr>
        <w:t>area of interconnected settlements</w:t>
      </w:r>
      <w:r w:rsidR="00B27430">
        <w:rPr>
          <w:color w:val="000000" w:themeColor="text1"/>
        </w:rPr>
        <w:t>)</w:t>
      </w:r>
      <w:r w:rsidR="0042252E">
        <w:rPr>
          <w:color w:val="000000" w:themeColor="text1"/>
        </w:rPr>
        <w:t>.</w:t>
      </w:r>
    </w:p>
    <w:p w14:paraId="4CD94129" w14:textId="2C7E5336" w:rsidR="00CC2E60" w:rsidRPr="009C07B9" w:rsidRDefault="0042252E" w:rsidP="00B76951">
      <w:pPr>
        <w:spacing w:after="120"/>
        <w:ind w:left="360"/>
        <w:rPr>
          <w:color w:val="000000" w:themeColor="text1"/>
        </w:rPr>
      </w:pPr>
      <w:r>
        <w:rPr>
          <w:color w:val="000000" w:themeColor="text1"/>
        </w:rPr>
        <w:t xml:space="preserve">The Jalalabad </w:t>
      </w:r>
      <w:r w:rsidR="00CC2E60" w:rsidRPr="006B5182">
        <w:rPr>
          <w:color w:val="000000" w:themeColor="text1"/>
        </w:rPr>
        <w:t xml:space="preserve">urban area </w:t>
      </w:r>
      <w:r w:rsidR="0076771A" w:rsidRPr="006B5182">
        <w:rPr>
          <w:color w:val="000000" w:themeColor="text1"/>
        </w:rPr>
        <w:t xml:space="preserve">housing </w:t>
      </w:r>
      <w:r w:rsidR="00CC2E60" w:rsidRPr="006B5182">
        <w:rPr>
          <w:color w:val="000000" w:themeColor="text1"/>
        </w:rPr>
        <w:t xml:space="preserve">market, </w:t>
      </w:r>
      <w:r>
        <w:rPr>
          <w:color w:val="000000" w:themeColor="text1"/>
        </w:rPr>
        <w:t xml:space="preserve">is further subdivided into three sub-markets, </w:t>
      </w:r>
      <w:r w:rsidR="00C52CB3">
        <w:rPr>
          <w:color w:val="000000" w:themeColor="text1"/>
        </w:rPr>
        <w:t xml:space="preserve">which are also </w:t>
      </w:r>
      <w:r>
        <w:rPr>
          <w:color w:val="000000" w:themeColor="text1"/>
        </w:rPr>
        <w:t xml:space="preserve">analyzed separately. These correspond to three </w:t>
      </w:r>
      <w:r w:rsidR="00C627CB" w:rsidRPr="006B5182">
        <w:rPr>
          <w:color w:val="000000" w:themeColor="text1"/>
        </w:rPr>
        <w:t>3 districts</w:t>
      </w:r>
      <w:r w:rsidR="00C52CB3">
        <w:rPr>
          <w:color w:val="000000" w:themeColor="text1"/>
        </w:rPr>
        <w:t>, and f</w:t>
      </w:r>
      <w:r w:rsidRPr="009C07B9">
        <w:rPr>
          <w:color w:val="000000" w:themeColor="text1"/>
        </w:rPr>
        <w:t>or each of these districts the assessment offers a representative picture</w:t>
      </w:r>
      <w:r>
        <w:rPr>
          <w:rStyle w:val="FootnoteReference"/>
          <w:color w:val="000000" w:themeColor="text1"/>
        </w:rPr>
        <w:footnoteReference w:id="12"/>
      </w:r>
      <w:r w:rsidRPr="009C07B9">
        <w:rPr>
          <w:color w:val="000000" w:themeColor="text1"/>
        </w:rPr>
        <w:t>:</w:t>
      </w:r>
    </w:p>
    <w:p w14:paraId="222E1BF0" w14:textId="50137C02" w:rsidR="00CC2E60" w:rsidRDefault="0042252E" w:rsidP="00B27430">
      <w:pPr>
        <w:pStyle w:val="ListParagraph"/>
        <w:numPr>
          <w:ilvl w:val="1"/>
          <w:numId w:val="22"/>
        </w:numPr>
        <w:spacing w:after="0"/>
        <w:ind w:left="1080"/>
        <w:jc w:val="both"/>
        <w:rPr>
          <w:color w:val="000000" w:themeColor="text1"/>
        </w:rPr>
      </w:pPr>
      <w:r>
        <w:rPr>
          <w:color w:val="000000" w:themeColor="text1"/>
        </w:rPr>
        <w:t>The area of Jalalabad district pro</w:t>
      </w:r>
      <w:r w:rsidR="00907B6A">
        <w:rPr>
          <w:color w:val="000000" w:themeColor="text1"/>
        </w:rPr>
        <w:t>per</w:t>
      </w:r>
    </w:p>
    <w:p w14:paraId="7BFC233F" w14:textId="0B5D4696" w:rsidR="0042252E" w:rsidRDefault="0042252E" w:rsidP="00B27430">
      <w:pPr>
        <w:pStyle w:val="ListParagraph"/>
        <w:numPr>
          <w:ilvl w:val="1"/>
          <w:numId w:val="22"/>
        </w:numPr>
        <w:spacing w:after="0"/>
        <w:ind w:left="1080"/>
        <w:jc w:val="both"/>
        <w:rPr>
          <w:color w:val="000000" w:themeColor="text1"/>
        </w:rPr>
      </w:pPr>
      <w:r>
        <w:rPr>
          <w:color w:val="000000" w:themeColor="text1"/>
        </w:rPr>
        <w:t xml:space="preserve">South-eastern </w:t>
      </w:r>
      <w:r w:rsidR="00C627CB" w:rsidRPr="006F5ECA">
        <w:rPr>
          <w:color w:val="000000" w:themeColor="text1"/>
        </w:rPr>
        <w:t xml:space="preserve">Behsud </w:t>
      </w:r>
      <w:r>
        <w:rPr>
          <w:color w:val="000000" w:themeColor="text1"/>
        </w:rPr>
        <w:t>district</w:t>
      </w:r>
    </w:p>
    <w:p w14:paraId="1054DA8B" w14:textId="78D05DF0" w:rsidR="004B24F5" w:rsidRPr="006B5182" w:rsidRDefault="0042252E" w:rsidP="00B27430">
      <w:pPr>
        <w:pStyle w:val="ListParagraph"/>
        <w:numPr>
          <w:ilvl w:val="1"/>
          <w:numId w:val="22"/>
        </w:numPr>
        <w:spacing w:after="0"/>
        <w:ind w:left="1080"/>
        <w:jc w:val="both"/>
        <w:rPr>
          <w:color w:val="000000" w:themeColor="text1"/>
        </w:rPr>
      </w:pPr>
      <w:r>
        <w:rPr>
          <w:color w:val="000000" w:themeColor="text1"/>
        </w:rPr>
        <w:t xml:space="preserve">North-western </w:t>
      </w:r>
      <w:r w:rsidR="00C627CB" w:rsidRPr="006F5ECA">
        <w:rPr>
          <w:color w:val="000000" w:themeColor="text1"/>
        </w:rPr>
        <w:t>Surkhrod</w:t>
      </w:r>
      <w:r>
        <w:rPr>
          <w:color w:val="000000" w:themeColor="text1"/>
        </w:rPr>
        <w:t xml:space="preserve"> district.</w:t>
      </w:r>
    </w:p>
    <w:p w14:paraId="6AFB7F3E" w14:textId="77777777" w:rsidR="00C627CB" w:rsidRDefault="00C627CB" w:rsidP="00C627CB">
      <w:pPr>
        <w:rPr>
          <w:color w:val="000000" w:themeColor="text1"/>
        </w:rPr>
      </w:pPr>
    </w:p>
    <w:p w14:paraId="2E3AED1C" w14:textId="6D3D011F" w:rsidR="00C627CB" w:rsidRDefault="00C627CB" w:rsidP="00C627CB">
      <w:pPr>
        <w:rPr>
          <w:color w:val="000000" w:themeColor="text1"/>
        </w:rPr>
      </w:pPr>
      <w:r>
        <w:rPr>
          <w:color w:val="000000" w:themeColor="text1"/>
        </w:rPr>
        <w:t xml:space="preserve">Outside of Jalalabad urban area the assessment </w:t>
      </w:r>
      <w:r w:rsidR="0042252E">
        <w:rPr>
          <w:color w:val="000000" w:themeColor="text1"/>
        </w:rPr>
        <w:t xml:space="preserve">covers </w:t>
      </w:r>
      <w:r>
        <w:rPr>
          <w:color w:val="000000" w:themeColor="text1"/>
        </w:rPr>
        <w:t xml:space="preserve">several smaller </w:t>
      </w:r>
      <w:r w:rsidR="009B415A">
        <w:rPr>
          <w:color w:val="000000" w:themeColor="text1"/>
        </w:rPr>
        <w:t>peripheral locations:</w:t>
      </w:r>
    </w:p>
    <w:p w14:paraId="5860E46B" w14:textId="77777777" w:rsidR="00B27430" w:rsidRDefault="00B27430" w:rsidP="00C627CB">
      <w:pPr>
        <w:rPr>
          <w:color w:val="000000" w:themeColor="text1"/>
        </w:rPr>
      </w:pPr>
    </w:p>
    <w:p w14:paraId="25A715F4" w14:textId="2EE19AA2" w:rsidR="00C627CB" w:rsidRDefault="009C07B9" w:rsidP="00B27430">
      <w:pPr>
        <w:pStyle w:val="ListParagraph"/>
        <w:numPr>
          <w:ilvl w:val="0"/>
          <w:numId w:val="22"/>
        </w:numPr>
        <w:ind w:left="360"/>
        <w:jc w:val="both"/>
        <w:rPr>
          <w:color w:val="000000" w:themeColor="text1"/>
        </w:rPr>
      </w:pPr>
      <w:r>
        <w:rPr>
          <w:b/>
          <w:color w:val="000000" w:themeColor="text1"/>
        </w:rPr>
        <w:t>Kabul camp,</w:t>
      </w:r>
      <w:r w:rsidR="00C627CB" w:rsidRPr="006F5ECA">
        <w:rPr>
          <w:color w:val="000000" w:themeColor="text1"/>
        </w:rPr>
        <w:t xml:space="preserve"> </w:t>
      </w:r>
      <w:r>
        <w:rPr>
          <w:color w:val="000000" w:themeColor="text1"/>
        </w:rPr>
        <w:t>C</w:t>
      </w:r>
      <w:r w:rsidR="00C627CB" w:rsidRPr="006F5ECA">
        <w:rPr>
          <w:color w:val="000000" w:themeColor="text1"/>
        </w:rPr>
        <w:t xml:space="preserve">entral Rodat district, </w:t>
      </w:r>
      <w:r w:rsidR="00C627CB">
        <w:rPr>
          <w:color w:val="000000" w:themeColor="text1"/>
        </w:rPr>
        <w:t xml:space="preserve">where the assessment offers </w:t>
      </w:r>
      <w:r w:rsidR="00C627CB" w:rsidRPr="006F5ECA">
        <w:rPr>
          <w:color w:val="000000" w:themeColor="text1"/>
        </w:rPr>
        <w:t>a representative snapshot of housing rental market</w:t>
      </w:r>
      <w:r w:rsidR="00C627CB">
        <w:rPr>
          <w:rStyle w:val="FootnoteReference"/>
          <w:color w:val="000000" w:themeColor="text1"/>
        </w:rPr>
        <w:footnoteReference w:id="13"/>
      </w:r>
      <w:r w:rsidR="00C627CB" w:rsidRPr="006F5ECA">
        <w:rPr>
          <w:color w:val="000000" w:themeColor="text1"/>
        </w:rPr>
        <w:t xml:space="preserve"> </w:t>
      </w:r>
    </w:p>
    <w:p w14:paraId="1601EFC2" w14:textId="632B9B34" w:rsidR="00C627CB" w:rsidRDefault="00C627CB" w:rsidP="00B27430">
      <w:pPr>
        <w:pStyle w:val="ListParagraph"/>
        <w:numPr>
          <w:ilvl w:val="0"/>
          <w:numId w:val="22"/>
        </w:numPr>
        <w:ind w:left="360"/>
        <w:jc w:val="both"/>
        <w:rPr>
          <w:color w:val="000000" w:themeColor="text1"/>
        </w:rPr>
      </w:pPr>
      <w:r w:rsidRPr="006006B5">
        <w:rPr>
          <w:color w:val="000000" w:themeColor="text1"/>
        </w:rPr>
        <w:t xml:space="preserve">The </w:t>
      </w:r>
      <w:r>
        <w:rPr>
          <w:color w:val="000000" w:themeColor="text1"/>
        </w:rPr>
        <w:t xml:space="preserve">newly established </w:t>
      </w:r>
      <w:r w:rsidRPr="006006B5">
        <w:rPr>
          <w:color w:val="000000" w:themeColor="text1"/>
        </w:rPr>
        <w:t xml:space="preserve">settlement of </w:t>
      </w:r>
      <w:r w:rsidRPr="00F51FF8">
        <w:rPr>
          <w:b/>
          <w:color w:val="000000" w:themeColor="text1"/>
        </w:rPr>
        <w:t>Chamtala</w:t>
      </w:r>
      <w:r w:rsidRPr="006006B5">
        <w:rPr>
          <w:color w:val="000000" w:themeColor="text1"/>
        </w:rPr>
        <w:t xml:space="preserve"> (</w:t>
      </w:r>
      <w:r w:rsidR="0042252E">
        <w:rPr>
          <w:color w:val="000000" w:themeColor="text1"/>
        </w:rPr>
        <w:t xml:space="preserve">on the border </w:t>
      </w:r>
      <w:r w:rsidRPr="006006B5">
        <w:rPr>
          <w:color w:val="000000" w:themeColor="text1"/>
        </w:rPr>
        <w:t>between Surkhrod and Khogyani districts)</w:t>
      </w:r>
      <w:r>
        <w:rPr>
          <w:color w:val="000000" w:themeColor="text1"/>
        </w:rPr>
        <w:t>, which is predominantly rural, and mostly populated by displaced peopl</w:t>
      </w:r>
      <w:r w:rsidR="009B415A">
        <w:rPr>
          <w:color w:val="000000" w:themeColor="text1"/>
        </w:rPr>
        <w:t>e</w:t>
      </w:r>
      <w:bookmarkStart w:id="7" w:name="_Ref523204729"/>
      <w:r w:rsidR="009B415A">
        <w:rPr>
          <w:rStyle w:val="FootnoteReference"/>
          <w:color w:val="000000" w:themeColor="text1"/>
        </w:rPr>
        <w:footnoteReference w:id="14"/>
      </w:r>
      <w:bookmarkEnd w:id="7"/>
    </w:p>
    <w:p w14:paraId="6357AF34" w14:textId="2D78CD97" w:rsidR="00C627CB" w:rsidRDefault="00C627CB" w:rsidP="00B27430">
      <w:pPr>
        <w:pStyle w:val="ListParagraph"/>
        <w:numPr>
          <w:ilvl w:val="0"/>
          <w:numId w:val="22"/>
        </w:numPr>
        <w:ind w:left="360"/>
        <w:jc w:val="both"/>
        <w:rPr>
          <w:color w:val="000000" w:themeColor="text1"/>
        </w:rPr>
      </w:pPr>
      <w:r w:rsidRPr="00F51FF8">
        <w:rPr>
          <w:b/>
          <w:color w:val="000000" w:themeColor="text1"/>
        </w:rPr>
        <w:t>Bar Shegi,</w:t>
      </w:r>
      <w:r>
        <w:rPr>
          <w:color w:val="000000" w:themeColor="text1"/>
        </w:rPr>
        <w:t xml:space="preserve"> a group of adjacent rural settlements in c</w:t>
      </w:r>
      <w:r w:rsidRPr="006006B5">
        <w:rPr>
          <w:color w:val="000000" w:themeColor="text1"/>
        </w:rPr>
        <w:t>entral Kunar province (Asadabad and Watapur districts)</w:t>
      </w:r>
      <w:r w:rsidR="009B415A" w:rsidRPr="006B5182">
        <w:rPr>
          <w:color w:val="000000" w:themeColor="text1"/>
          <w:vertAlign w:val="superscript"/>
        </w:rPr>
        <w:fldChar w:fldCharType="begin"/>
      </w:r>
      <w:r w:rsidR="009B415A" w:rsidRPr="006B5182">
        <w:rPr>
          <w:color w:val="000000" w:themeColor="text1"/>
          <w:vertAlign w:val="superscript"/>
        </w:rPr>
        <w:instrText xml:space="preserve"> NOTEREF _Ref523204729 \h </w:instrText>
      </w:r>
      <w:r w:rsidR="009B415A">
        <w:rPr>
          <w:color w:val="000000" w:themeColor="text1"/>
          <w:vertAlign w:val="superscript"/>
        </w:rPr>
        <w:instrText xml:space="preserve"> \* MERGEFORMAT </w:instrText>
      </w:r>
      <w:r w:rsidR="009B415A" w:rsidRPr="006B5182">
        <w:rPr>
          <w:color w:val="000000" w:themeColor="text1"/>
          <w:vertAlign w:val="superscript"/>
        </w:rPr>
      </w:r>
      <w:r w:rsidR="009B415A" w:rsidRPr="006B5182">
        <w:rPr>
          <w:color w:val="000000" w:themeColor="text1"/>
          <w:vertAlign w:val="superscript"/>
        </w:rPr>
        <w:fldChar w:fldCharType="separate"/>
      </w:r>
      <w:r w:rsidR="009001C0">
        <w:rPr>
          <w:color w:val="000000" w:themeColor="text1"/>
          <w:vertAlign w:val="superscript"/>
        </w:rPr>
        <w:t>14</w:t>
      </w:r>
      <w:r w:rsidR="009B415A" w:rsidRPr="006B5182">
        <w:rPr>
          <w:color w:val="000000" w:themeColor="text1"/>
          <w:vertAlign w:val="superscript"/>
        </w:rPr>
        <w:fldChar w:fldCharType="end"/>
      </w:r>
    </w:p>
    <w:p w14:paraId="35E953E7" w14:textId="358F598B" w:rsidR="00C627CB" w:rsidRDefault="00C627CB" w:rsidP="00B27430">
      <w:pPr>
        <w:pStyle w:val="ListParagraph"/>
        <w:numPr>
          <w:ilvl w:val="0"/>
          <w:numId w:val="22"/>
        </w:numPr>
        <w:ind w:left="360"/>
        <w:jc w:val="both"/>
        <w:rPr>
          <w:color w:val="000000" w:themeColor="text1"/>
        </w:rPr>
      </w:pPr>
      <w:r w:rsidRPr="00F51FF8">
        <w:rPr>
          <w:b/>
          <w:color w:val="000000" w:themeColor="text1"/>
        </w:rPr>
        <w:t>Harchar</w:t>
      </w:r>
      <w:r>
        <w:rPr>
          <w:color w:val="000000" w:themeColor="text1"/>
        </w:rPr>
        <w:t xml:space="preserve"> settlement i</w:t>
      </w:r>
      <w:r w:rsidRPr="006006B5">
        <w:rPr>
          <w:color w:val="000000" w:themeColor="text1"/>
        </w:rPr>
        <w:t xml:space="preserve">n </w:t>
      </w:r>
      <w:r w:rsidR="0042252E">
        <w:rPr>
          <w:color w:val="000000" w:themeColor="text1"/>
        </w:rPr>
        <w:t xml:space="preserve">the center of </w:t>
      </w:r>
      <w:r w:rsidRPr="006006B5">
        <w:rPr>
          <w:color w:val="000000" w:themeColor="text1"/>
        </w:rPr>
        <w:t>Mehtarlam district, Laghman province</w:t>
      </w:r>
      <w:r w:rsidR="009B415A" w:rsidRPr="00E0487A">
        <w:rPr>
          <w:color w:val="000000" w:themeColor="text1"/>
          <w:vertAlign w:val="superscript"/>
        </w:rPr>
        <w:t>6</w:t>
      </w:r>
      <w:r w:rsidRPr="006006B5">
        <w:rPr>
          <w:color w:val="000000" w:themeColor="text1"/>
        </w:rPr>
        <w:t>.</w:t>
      </w:r>
    </w:p>
    <w:p w14:paraId="5059D677" w14:textId="249A6547" w:rsidR="00C627CB" w:rsidRDefault="00677F04">
      <w:pPr>
        <w:rPr>
          <w:color w:val="000000" w:themeColor="text1"/>
        </w:rPr>
      </w:pPr>
      <w:r>
        <w:rPr>
          <w:color w:val="000000" w:themeColor="text1"/>
        </w:rPr>
        <w:t xml:space="preserve">Some of these market areas are further subdivided in </w:t>
      </w:r>
      <w:r w:rsidR="002B24D3">
        <w:rPr>
          <w:color w:val="000000" w:themeColor="text1"/>
        </w:rPr>
        <w:t xml:space="preserve">communities (separate </w:t>
      </w:r>
      <w:r>
        <w:rPr>
          <w:color w:val="000000" w:themeColor="text1"/>
        </w:rPr>
        <w:t xml:space="preserve">settlements </w:t>
      </w:r>
      <w:r w:rsidR="00B21BDF">
        <w:rPr>
          <w:color w:val="000000" w:themeColor="text1"/>
        </w:rPr>
        <w:t xml:space="preserve">or </w:t>
      </w:r>
      <w:r>
        <w:rPr>
          <w:color w:val="000000" w:themeColor="text1"/>
        </w:rPr>
        <w:t xml:space="preserve">villages). When appropriate, these further subdivisions are presented to illustrate differences within markets. </w:t>
      </w:r>
    </w:p>
    <w:p w14:paraId="51C7A3FD" w14:textId="149715EB" w:rsidR="00A76468" w:rsidRDefault="00A76468">
      <w:pPr>
        <w:rPr>
          <w:color w:val="000000" w:themeColor="text1"/>
        </w:rPr>
      </w:pPr>
    </w:p>
    <w:p w14:paraId="0E1229CF" w14:textId="77777777" w:rsidR="001B0803" w:rsidRDefault="00026437" w:rsidP="00B76951">
      <w:pPr>
        <w:keepNext/>
      </w:pPr>
      <w:r>
        <w:rPr>
          <w:noProof/>
          <w:color w:val="000000" w:themeColor="text1"/>
        </w:rPr>
        <w:drawing>
          <wp:inline distT="0" distB="0" distL="0" distR="0" wp14:anchorId="2A59551C" wp14:editId="2F2D11D2">
            <wp:extent cx="6400800" cy="4525645"/>
            <wp:effectExtent l="0" t="0" r="0" b="8255"/>
            <wp:docPr id="4" name="Picture 4" descr="A close up of a map&#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ap2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400800" cy="4525645"/>
                    </a:xfrm>
                    <a:prstGeom prst="rect">
                      <a:avLst/>
                    </a:prstGeom>
                  </pic:spPr>
                </pic:pic>
              </a:graphicData>
            </a:graphic>
          </wp:inline>
        </w:drawing>
      </w:r>
    </w:p>
    <w:p w14:paraId="59B4F71A" w14:textId="13A8497C" w:rsidR="00677F04" w:rsidRDefault="001B0803" w:rsidP="00B76951">
      <w:pPr>
        <w:pStyle w:val="Caption"/>
        <w:rPr>
          <w:color w:val="000000" w:themeColor="text1"/>
        </w:rPr>
      </w:pPr>
      <w:bookmarkStart w:id="8" w:name="_Ref523399292"/>
      <w:r>
        <w:t xml:space="preserve">Figure </w:t>
      </w:r>
      <w:r>
        <w:fldChar w:fldCharType="begin"/>
      </w:r>
      <w:r>
        <w:instrText xml:space="preserve"> SEQ Figure \* ARABIC </w:instrText>
      </w:r>
      <w:r>
        <w:fldChar w:fldCharType="separate"/>
      </w:r>
      <w:r>
        <w:rPr>
          <w:noProof/>
        </w:rPr>
        <w:t>1</w:t>
      </w:r>
      <w:r>
        <w:fldChar w:fldCharType="end"/>
      </w:r>
      <w:bookmarkEnd w:id="8"/>
      <w:r>
        <w:t xml:space="preserve"> Location of markets analyzed in the assessment</w:t>
      </w:r>
    </w:p>
    <w:p w14:paraId="3D4FD3C7" w14:textId="7BB1A4C6" w:rsidR="002E4E75" w:rsidRPr="00F8558C" w:rsidRDefault="00D43B63" w:rsidP="009C6EAC">
      <w:pPr>
        <w:rPr>
          <w:color w:val="FF0000"/>
        </w:rPr>
      </w:pPr>
      <w:r>
        <w:rPr>
          <w:color w:val="000000" w:themeColor="text1"/>
        </w:rPr>
        <w:t xml:space="preserve">While the assessment data is analyzed on the level of separate shelter markets, it could be indicative on the district and provincial level as well. </w:t>
      </w:r>
      <w:r w:rsidR="002E4E75">
        <w:rPr>
          <w:color w:val="000000" w:themeColor="text1"/>
        </w:rPr>
        <w:t>Three of the districts</w:t>
      </w:r>
      <w:r w:rsidR="009B415A">
        <w:rPr>
          <w:color w:val="000000" w:themeColor="text1"/>
        </w:rPr>
        <w:t>, parts of which are covered in th</w:t>
      </w:r>
      <w:r w:rsidR="00970454">
        <w:rPr>
          <w:color w:val="000000" w:themeColor="text1"/>
        </w:rPr>
        <w:t>e assessment</w:t>
      </w:r>
      <w:r w:rsidR="009B415A">
        <w:rPr>
          <w:color w:val="000000" w:themeColor="text1"/>
        </w:rPr>
        <w:t xml:space="preserve"> </w:t>
      </w:r>
      <w:r w:rsidR="002E4E75">
        <w:rPr>
          <w:color w:val="000000" w:themeColor="text1"/>
        </w:rPr>
        <w:t>- Surkhrod, Khogyani and Watapur, are areas defined as Hard-to-Reach, either from security or terrain perspective</w:t>
      </w:r>
      <w:r w:rsidR="002E4E75">
        <w:rPr>
          <w:rStyle w:val="FootnoteReference"/>
          <w:color w:val="000000" w:themeColor="text1"/>
        </w:rPr>
        <w:footnoteReference w:id="15"/>
      </w:r>
      <w:r w:rsidR="002E4E75">
        <w:rPr>
          <w:color w:val="000000" w:themeColor="text1"/>
        </w:rPr>
        <w:t>, where access remains a challenge for humanitarian actors. Whenever appropriate, th</w:t>
      </w:r>
      <w:r w:rsidR="009B415A">
        <w:rPr>
          <w:color w:val="000000" w:themeColor="text1"/>
        </w:rPr>
        <w:t xml:space="preserve">e Hard-to-Reach Areas </w:t>
      </w:r>
      <w:r w:rsidR="002E4E75">
        <w:rPr>
          <w:color w:val="000000" w:themeColor="text1"/>
        </w:rPr>
        <w:t xml:space="preserve">are analyzed separately. </w:t>
      </w:r>
    </w:p>
    <w:p w14:paraId="2675FF5E" w14:textId="47C15A7F" w:rsidR="009B415A" w:rsidRPr="004514EC" w:rsidRDefault="009B415A" w:rsidP="006B5182">
      <w:pPr>
        <w:pStyle w:val="Revision"/>
        <w:keepNext/>
        <w:rPr>
          <w:rFonts w:ascii="Franklin Gothic Book" w:hAnsi="Franklin Gothic Book"/>
          <w:i/>
          <w:sz w:val="18"/>
        </w:rPr>
      </w:pPr>
      <w:bookmarkStart w:id="9" w:name="_Ref523204965"/>
      <w:r w:rsidRPr="004514EC">
        <w:rPr>
          <w:rFonts w:ascii="Franklin Gothic Book" w:hAnsi="Franklin Gothic Book"/>
          <w:i/>
          <w:sz w:val="18"/>
        </w:rPr>
        <w:t xml:space="preserve">Table </w:t>
      </w:r>
      <w:r w:rsidRPr="004514EC">
        <w:rPr>
          <w:rFonts w:ascii="Franklin Gothic Book" w:hAnsi="Franklin Gothic Book"/>
          <w:i/>
          <w:sz w:val="18"/>
        </w:rPr>
        <w:fldChar w:fldCharType="begin"/>
      </w:r>
      <w:r w:rsidRPr="004514EC">
        <w:rPr>
          <w:rFonts w:ascii="Franklin Gothic Book" w:hAnsi="Franklin Gothic Book"/>
          <w:i/>
          <w:sz w:val="18"/>
        </w:rPr>
        <w:instrText xml:space="preserve"> SEQ Table \* ARABIC </w:instrText>
      </w:r>
      <w:r w:rsidRPr="004514EC">
        <w:rPr>
          <w:rFonts w:ascii="Franklin Gothic Book" w:hAnsi="Franklin Gothic Book"/>
          <w:i/>
          <w:sz w:val="18"/>
        </w:rPr>
        <w:fldChar w:fldCharType="separate"/>
      </w:r>
      <w:r w:rsidR="009001C0">
        <w:rPr>
          <w:rFonts w:ascii="Franklin Gothic Book" w:hAnsi="Franklin Gothic Book"/>
          <w:i/>
          <w:noProof/>
          <w:sz w:val="18"/>
        </w:rPr>
        <w:t>1</w:t>
      </w:r>
      <w:r w:rsidRPr="004514EC">
        <w:rPr>
          <w:rFonts w:ascii="Franklin Gothic Book" w:hAnsi="Franklin Gothic Book"/>
          <w:i/>
          <w:sz w:val="18"/>
        </w:rPr>
        <w:fldChar w:fldCharType="end"/>
      </w:r>
      <w:bookmarkEnd w:id="9"/>
      <w:r w:rsidRPr="004514EC">
        <w:rPr>
          <w:rFonts w:ascii="Franklin Gothic Book" w:hAnsi="Franklin Gothic Book"/>
          <w:i/>
          <w:sz w:val="18"/>
        </w:rPr>
        <w:t xml:space="preserve"> Number of responses collected for the assessment:  household survey and survey of key informants – by Shelter Market</w:t>
      </w:r>
    </w:p>
    <w:tbl>
      <w:tblPr>
        <w:tblStyle w:val="TableGridLight"/>
        <w:tblW w:w="5000" w:type="pct"/>
        <w:tblLayout w:type="fixed"/>
        <w:tblLook w:val="04A0" w:firstRow="1" w:lastRow="0" w:firstColumn="1" w:lastColumn="0" w:noHBand="0" w:noVBand="1"/>
      </w:tblPr>
      <w:tblGrid>
        <w:gridCol w:w="1804"/>
        <w:gridCol w:w="1120"/>
        <w:gridCol w:w="953"/>
        <w:gridCol w:w="953"/>
        <w:gridCol w:w="1196"/>
        <w:gridCol w:w="2022"/>
        <w:gridCol w:w="2022"/>
      </w:tblGrid>
      <w:tr w:rsidR="004514EC" w:rsidRPr="00753442" w14:paraId="6DB0CD55" w14:textId="69E90D22" w:rsidTr="00B32F9B">
        <w:trPr>
          <w:trHeight w:val="288"/>
        </w:trPr>
        <w:tc>
          <w:tcPr>
            <w:tcW w:w="896" w:type="pct"/>
            <w:noWrap/>
            <w:hideMark/>
          </w:tcPr>
          <w:p w14:paraId="7C7105D9" w14:textId="5E9D7129" w:rsidR="004514EC" w:rsidRPr="004514EC" w:rsidRDefault="004514EC" w:rsidP="004514EC">
            <w:pPr>
              <w:rPr>
                <w:b/>
                <w:bCs/>
                <w:color w:val="000000" w:themeColor="text1"/>
                <w:sz w:val="18"/>
                <w:szCs w:val="18"/>
              </w:rPr>
            </w:pPr>
          </w:p>
        </w:tc>
        <w:tc>
          <w:tcPr>
            <w:tcW w:w="556" w:type="pct"/>
          </w:tcPr>
          <w:p w14:paraId="211BE6F0" w14:textId="590B2B6D" w:rsidR="004514EC" w:rsidRPr="004514EC" w:rsidRDefault="004514EC" w:rsidP="004514EC">
            <w:pPr>
              <w:jc w:val="center"/>
              <w:rPr>
                <w:b/>
                <w:bCs/>
                <w:color w:val="000000" w:themeColor="text1"/>
                <w:sz w:val="18"/>
                <w:szCs w:val="18"/>
              </w:rPr>
            </w:pPr>
          </w:p>
        </w:tc>
        <w:tc>
          <w:tcPr>
            <w:tcW w:w="1540" w:type="pct"/>
            <w:gridSpan w:val="3"/>
            <w:vAlign w:val="center"/>
          </w:tcPr>
          <w:p w14:paraId="1D4B52B6" w14:textId="21003C74" w:rsidR="004514EC" w:rsidRPr="004514EC" w:rsidRDefault="004514EC" w:rsidP="004514EC">
            <w:pPr>
              <w:jc w:val="center"/>
              <w:rPr>
                <w:b/>
                <w:bCs/>
                <w:color w:val="000000" w:themeColor="text1"/>
                <w:sz w:val="18"/>
                <w:szCs w:val="18"/>
              </w:rPr>
            </w:pPr>
            <w:r w:rsidRPr="004514EC">
              <w:rPr>
                <w:b/>
                <w:bCs/>
                <w:color w:val="000000" w:themeColor="text1"/>
                <w:sz w:val="18"/>
                <w:szCs w:val="18"/>
              </w:rPr>
              <w:t>Household survey</w:t>
            </w:r>
          </w:p>
        </w:tc>
        <w:tc>
          <w:tcPr>
            <w:tcW w:w="1004" w:type="pct"/>
            <w:vMerge w:val="restart"/>
            <w:vAlign w:val="center"/>
          </w:tcPr>
          <w:p w14:paraId="1EFE6F03" w14:textId="7A936E0B" w:rsidR="004514EC" w:rsidRPr="004514EC" w:rsidRDefault="004514EC" w:rsidP="004514EC">
            <w:pPr>
              <w:jc w:val="center"/>
              <w:rPr>
                <w:b/>
                <w:bCs/>
                <w:color w:val="000000" w:themeColor="text1"/>
                <w:sz w:val="18"/>
                <w:szCs w:val="18"/>
              </w:rPr>
            </w:pPr>
            <w:r w:rsidRPr="004514EC">
              <w:rPr>
                <w:b/>
                <w:bCs/>
                <w:color w:val="000000" w:themeColor="text1"/>
                <w:sz w:val="18"/>
                <w:szCs w:val="18"/>
              </w:rPr>
              <w:t>Key informant interviews (all male)</w:t>
            </w:r>
          </w:p>
        </w:tc>
        <w:tc>
          <w:tcPr>
            <w:tcW w:w="1004" w:type="pct"/>
            <w:vMerge w:val="restart"/>
            <w:vAlign w:val="center"/>
          </w:tcPr>
          <w:p w14:paraId="527C87C1" w14:textId="4861BE0E" w:rsidR="004514EC" w:rsidRPr="004514EC" w:rsidRDefault="00E51FB7" w:rsidP="00E51FB7">
            <w:pPr>
              <w:jc w:val="center"/>
              <w:rPr>
                <w:b/>
                <w:bCs/>
                <w:color w:val="000000" w:themeColor="text1"/>
                <w:sz w:val="18"/>
                <w:szCs w:val="18"/>
              </w:rPr>
            </w:pPr>
            <w:r>
              <w:rPr>
                <w:b/>
                <w:bCs/>
                <w:color w:val="000000" w:themeColor="text1"/>
                <w:sz w:val="18"/>
                <w:szCs w:val="18"/>
              </w:rPr>
              <w:t xml:space="preserve">Population </w:t>
            </w:r>
            <w:r w:rsidR="00B21BDF">
              <w:rPr>
                <w:b/>
                <w:bCs/>
                <w:color w:val="000000" w:themeColor="text1"/>
                <w:sz w:val="18"/>
                <w:szCs w:val="18"/>
              </w:rPr>
              <w:t xml:space="preserve">of the market area </w:t>
            </w:r>
            <w:r>
              <w:rPr>
                <w:b/>
                <w:bCs/>
                <w:color w:val="000000" w:themeColor="text1"/>
                <w:sz w:val="18"/>
                <w:szCs w:val="18"/>
              </w:rPr>
              <w:t>(estimate)</w:t>
            </w:r>
          </w:p>
        </w:tc>
      </w:tr>
      <w:tr w:rsidR="004514EC" w:rsidRPr="00753442" w14:paraId="7F338E87" w14:textId="09CAA6E8" w:rsidTr="00E51FB7">
        <w:trPr>
          <w:trHeight w:val="288"/>
        </w:trPr>
        <w:tc>
          <w:tcPr>
            <w:tcW w:w="896" w:type="pct"/>
            <w:noWrap/>
            <w:vAlign w:val="center"/>
          </w:tcPr>
          <w:p w14:paraId="63456A55" w14:textId="138244FF" w:rsidR="004514EC" w:rsidRPr="004514EC" w:rsidRDefault="00580C77" w:rsidP="004514EC">
            <w:pPr>
              <w:jc w:val="left"/>
              <w:rPr>
                <w:b/>
                <w:bCs/>
                <w:color w:val="000000" w:themeColor="text1"/>
                <w:sz w:val="18"/>
                <w:szCs w:val="18"/>
              </w:rPr>
            </w:pPr>
            <w:r>
              <w:rPr>
                <w:b/>
                <w:bCs/>
                <w:color w:val="000000" w:themeColor="text1"/>
                <w:sz w:val="18"/>
                <w:szCs w:val="18"/>
              </w:rPr>
              <w:t>Market</w:t>
            </w:r>
          </w:p>
        </w:tc>
        <w:tc>
          <w:tcPr>
            <w:tcW w:w="556" w:type="pct"/>
          </w:tcPr>
          <w:p w14:paraId="6AB3B62A" w14:textId="475D6479" w:rsidR="004514EC" w:rsidRPr="004514EC" w:rsidRDefault="00580C77" w:rsidP="004514EC">
            <w:pPr>
              <w:rPr>
                <w:b/>
                <w:bCs/>
                <w:color w:val="000000" w:themeColor="text1"/>
                <w:sz w:val="18"/>
                <w:szCs w:val="18"/>
              </w:rPr>
            </w:pPr>
            <w:r>
              <w:rPr>
                <w:b/>
                <w:bCs/>
                <w:color w:val="000000" w:themeColor="text1"/>
                <w:sz w:val="18"/>
                <w:szCs w:val="18"/>
              </w:rPr>
              <w:t>Sub-market</w:t>
            </w:r>
          </w:p>
        </w:tc>
        <w:tc>
          <w:tcPr>
            <w:tcW w:w="473" w:type="pct"/>
            <w:vAlign w:val="center"/>
          </w:tcPr>
          <w:p w14:paraId="790D3915" w14:textId="467752E3" w:rsidR="004514EC" w:rsidRPr="004514EC" w:rsidRDefault="004514EC" w:rsidP="004514EC">
            <w:pPr>
              <w:jc w:val="center"/>
              <w:rPr>
                <w:b/>
                <w:bCs/>
                <w:color w:val="000000" w:themeColor="text1"/>
                <w:sz w:val="18"/>
                <w:szCs w:val="18"/>
              </w:rPr>
            </w:pPr>
            <w:r w:rsidRPr="004514EC">
              <w:rPr>
                <w:b/>
                <w:bCs/>
                <w:color w:val="000000" w:themeColor="text1"/>
                <w:sz w:val="18"/>
                <w:szCs w:val="18"/>
              </w:rPr>
              <w:t>female</w:t>
            </w:r>
          </w:p>
        </w:tc>
        <w:tc>
          <w:tcPr>
            <w:tcW w:w="473" w:type="pct"/>
            <w:vAlign w:val="center"/>
          </w:tcPr>
          <w:p w14:paraId="0B53E4A6" w14:textId="64790004" w:rsidR="004514EC" w:rsidRPr="004514EC" w:rsidRDefault="004514EC" w:rsidP="004514EC">
            <w:pPr>
              <w:jc w:val="center"/>
              <w:rPr>
                <w:b/>
                <w:bCs/>
                <w:color w:val="000000" w:themeColor="text1"/>
                <w:sz w:val="18"/>
                <w:szCs w:val="18"/>
              </w:rPr>
            </w:pPr>
            <w:r w:rsidRPr="004514EC">
              <w:rPr>
                <w:b/>
                <w:bCs/>
                <w:color w:val="000000" w:themeColor="text1"/>
                <w:sz w:val="18"/>
                <w:szCs w:val="18"/>
              </w:rPr>
              <w:t>male</w:t>
            </w:r>
          </w:p>
        </w:tc>
        <w:tc>
          <w:tcPr>
            <w:tcW w:w="594" w:type="pct"/>
            <w:vAlign w:val="center"/>
          </w:tcPr>
          <w:p w14:paraId="2C777E43" w14:textId="7CDCC296" w:rsidR="004514EC" w:rsidRPr="004514EC" w:rsidRDefault="004514EC" w:rsidP="004514EC">
            <w:pPr>
              <w:jc w:val="center"/>
              <w:rPr>
                <w:b/>
                <w:bCs/>
                <w:color w:val="000000" w:themeColor="text1"/>
                <w:sz w:val="18"/>
                <w:szCs w:val="18"/>
              </w:rPr>
            </w:pPr>
            <w:r w:rsidRPr="004514EC">
              <w:rPr>
                <w:b/>
                <w:bCs/>
                <w:color w:val="000000" w:themeColor="text1"/>
                <w:sz w:val="18"/>
                <w:szCs w:val="18"/>
              </w:rPr>
              <w:t>Total respondents</w:t>
            </w:r>
          </w:p>
        </w:tc>
        <w:tc>
          <w:tcPr>
            <w:tcW w:w="1004" w:type="pct"/>
            <w:vMerge/>
            <w:vAlign w:val="center"/>
          </w:tcPr>
          <w:p w14:paraId="657B70D9" w14:textId="77777777" w:rsidR="004514EC" w:rsidRPr="004514EC" w:rsidRDefault="004514EC" w:rsidP="004514EC">
            <w:pPr>
              <w:jc w:val="center"/>
              <w:rPr>
                <w:b/>
                <w:bCs/>
                <w:color w:val="000000" w:themeColor="text1"/>
                <w:sz w:val="18"/>
                <w:szCs w:val="18"/>
              </w:rPr>
            </w:pPr>
          </w:p>
        </w:tc>
        <w:tc>
          <w:tcPr>
            <w:tcW w:w="1004" w:type="pct"/>
            <w:vMerge/>
            <w:vAlign w:val="center"/>
          </w:tcPr>
          <w:p w14:paraId="6E057286" w14:textId="20032CC4" w:rsidR="004514EC" w:rsidRPr="004514EC" w:rsidRDefault="004514EC" w:rsidP="004514EC">
            <w:pPr>
              <w:jc w:val="center"/>
              <w:rPr>
                <w:b/>
                <w:bCs/>
                <w:color w:val="000000" w:themeColor="text1"/>
                <w:sz w:val="18"/>
                <w:szCs w:val="18"/>
              </w:rPr>
            </w:pPr>
          </w:p>
        </w:tc>
      </w:tr>
      <w:tr w:rsidR="00580C77" w:rsidRPr="00753442" w14:paraId="07C825F6" w14:textId="77777777" w:rsidTr="00E51FB7">
        <w:trPr>
          <w:trHeight w:val="288"/>
        </w:trPr>
        <w:tc>
          <w:tcPr>
            <w:tcW w:w="896" w:type="pct"/>
            <w:noWrap/>
            <w:vAlign w:val="center"/>
          </w:tcPr>
          <w:p w14:paraId="07E948E5" w14:textId="2A4A3E0D" w:rsidR="00580C77" w:rsidRPr="004514EC" w:rsidRDefault="00580C77" w:rsidP="00580C77">
            <w:pPr>
              <w:jc w:val="left"/>
              <w:rPr>
                <w:b/>
                <w:bCs/>
                <w:color w:val="000000" w:themeColor="text1"/>
                <w:sz w:val="18"/>
                <w:szCs w:val="18"/>
              </w:rPr>
            </w:pPr>
            <w:r w:rsidRPr="004514EC">
              <w:rPr>
                <w:b/>
                <w:bCs/>
                <w:color w:val="000000" w:themeColor="text1"/>
                <w:sz w:val="18"/>
                <w:szCs w:val="18"/>
              </w:rPr>
              <w:t>JAA urban area*</w:t>
            </w:r>
          </w:p>
        </w:tc>
        <w:tc>
          <w:tcPr>
            <w:tcW w:w="556" w:type="pct"/>
          </w:tcPr>
          <w:p w14:paraId="1B9E2DF2" w14:textId="77777777" w:rsidR="00580C77" w:rsidRPr="004514EC" w:rsidRDefault="00580C77" w:rsidP="00580C77">
            <w:pPr>
              <w:rPr>
                <w:b/>
                <w:bCs/>
                <w:color w:val="000000" w:themeColor="text1"/>
                <w:sz w:val="18"/>
                <w:szCs w:val="18"/>
              </w:rPr>
            </w:pPr>
          </w:p>
        </w:tc>
        <w:tc>
          <w:tcPr>
            <w:tcW w:w="473" w:type="pct"/>
            <w:vAlign w:val="center"/>
          </w:tcPr>
          <w:p w14:paraId="1E554B99" w14:textId="59827B59" w:rsidR="00580C77" w:rsidRPr="004514EC" w:rsidRDefault="00580C77" w:rsidP="00580C77">
            <w:pPr>
              <w:jc w:val="center"/>
              <w:rPr>
                <w:b/>
                <w:bCs/>
                <w:color w:val="000000" w:themeColor="text1"/>
                <w:sz w:val="18"/>
                <w:szCs w:val="18"/>
              </w:rPr>
            </w:pPr>
            <w:r w:rsidRPr="004514EC">
              <w:rPr>
                <w:bCs/>
                <w:color w:val="000000" w:themeColor="text1"/>
                <w:sz w:val="18"/>
                <w:szCs w:val="18"/>
              </w:rPr>
              <w:t>302</w:t>
            </w:r>
          </w:p>
        </w:tc>
        <w:tc>
          <w:tcPr>
            <w:tcW w:w="473" w:type="pct"/>
            <w:vAlign w:val="center"/>
          </w:tcPr>
          <w:p w14:paraId="4941E647" w14:textId="7DC2DFB1" w:rsidR="00580C77" w:rsidRPr="004514EC" w:rsidRDefault="00580C77" w:rsidP="00580C77">
            <w:pPr>
              <w:jc w:val="center"/>
              <w:rPr>
                <w:b/>
                <w:bCs/>
                <w:color w:val="000000" w:themeColor="text1"/>
                <w:sz w:val="18"/>
                <w:szCs w:val="18"/>
              </w:rPr>
            </w:pPr>
            <w:r w:rsidRPr="004514EC">
              <w:rPr>
                <w:bCs/>
                <w:color w:val="000000" w:themeColor="text1"/>
                <w:sz w:val="18"/>
                <w:szCs w:val="18"/>
              </w:rPr>
              <w:t>258</w:t>
            </w:r>
          </w:p>
        </w:tc>
        <w:tc>
          <w:tcPr>
            <w:tcW w:w="594" w:type="pct"/>
            <w:vAlign w:val="center"/>
          </w:tcPr>
          <w:p w14:paraId="002C0664" w14:textId="380C8BC0" w:rsidR="00580C77" w:rsidRPr="004514EC" w:rsidRDefault="00580C77" w:rsidP="00580C77">
            <w:pPr>
              <w:jc w:val="center"/>
              <w:rPr>
                <w:b/>
                <w:bCs/>
                <w:color w:val="000000" w:themeColor="text1"/>
                <w:sz w:val="18"/>
                <w:szCs w:val="18"/>
              </w:rPr>
            </w:pPr>
            <w:r w:rsidRPr="004514EC">
              <w:rPr>
                <w:bCs/>
                <w:color w:val="000000" w:themeColor="text1"/>
                <w:sz w:val="18"/>
                <w:szCs w:val="18"/>
              </w:rPr>
              <w:t>560</w:t>
            </w:r>
          </w:p>
        </w:tc>
        <w:tc>
          <w:tcPr>
            <w:tcW w:w="1004" w:type="pct"/>
            <w:vAlign w:val="center"/>
          </w:tcPr>
          <w:p w14:paraId="33FDE094" w14:textId="545A27BB" w:rsidR="00580C77" w:rsidRPr="004514EC" w:rsidRDefault="00580C77" w:rsidP="00580C77">
            <w:pPr>
              <w:jc w:val="center"/>
              <w:rPr>
                <w:b/>
                <w:bCs/>
                <w:color w:val="000000" w:themeColor="text1"/>
                <w:sz w:val="18"/>
                <w:szCs w:val="18"/>
              </w:rPr>
            </w:pPr>
            <w:r w:rsidRPr="00E51FB7">
              <w:rPr>
                <w:bCs/>
                <w:color w:val="000000" w:themeColor="text1"/>
                <w:sz w:val="18"/>
                <w:szCs w:val="18"/>
              </w:rPr>
              <w:t>77</w:t>
            </w:r>
          </w:p>
        </w:tc>
        <w:tc>
          <w:tcPr>
            <w:tcW w:w="1004" w:type="pct"/>
            <w:vAlign w:val="center"/>
          </w:tcPr>
          <w:p w14:paraId="2D9D54BA" w14:textId="346159C4" w:rsidR="00580C77" w:rsidRPr="004514EC" w:rsidRDefault="00C4155A" w:rsidP="00B76951">
            <w:pPr>
              <w:rPr>
                <w:b/>
                <w:bCs/>
                <w:color w:val="000000" w:themeColor="text1"/>
                <w:sz w:val="18"/>
                <w:szCs w:val="18"/>
              </w:rPr>
            </w:pPr>
            <w:r>
              <w:rPr>
                <w:bCs/>
                <w:color w:val="000000" w:themeColor="text1"/>
                <w:sz w:val="18"/>
                <w:szCs w:val="18"/>
              </w:rPr>
              <w:t xml:space="preserve">over </w:t>
            </w:r>
            <w:r w:rsidR="00580C77" w:rsidRPr="004514EC">
              <w:rPr>
                <w:bCs/>
                <w:color w:val="000000" w:themeColor="text1"/>
                <w:sz w:val="18"/>
                <w:szCs w:val="18"/>
              </w:rPr>
              <w:t xml:space="preserve">360 000 </w:t>
            </w:r>
            <w:r w:rsidR="00580C77">
              <w:rPr>
                <w:bCs/>
                <w:color w:val="000000" w:themeColor="text1"/>
                <w:sz w:val="18"/>
                <w:szCs w:val="18"/>
              </w:rPr>
              <w:t xml:space="preserve"> </w:t>
            </w:r>
          </w:p>
        </w:tc>
      </w:tr>
      <w:tr w:rsidR="00580C77" w:rsidRPr="00753442" w14:paraId="06E2A291" w14:textId="30C1B25C" w:rsidTr="00356DFF">
        <w:trPr>
          <w:trHeight w:val="245"/>
        </w:trPr>
        <w:tc>
          <w:tcPr>
            <w:tcW w:w="896" w:type="pct"/>
            <w:noWrap/>
            <w:vAlign w:val="center"/>
          </w:tcPr>
          <w:p w14:paraId="32C21F14" w14:textId="699034A4" w:rsidR="00580C77" w:rsidRPr="004514EC" w:rsidRDefault="00580C77" w:rsidP="00580C77">
            <w:pPr>
              <w:jc w:val="left"/>
              <w:rPr>
                <w:b/>
                <w:bCs/>
                <w:color w:val="000000" w:themeColor="text1"/>
                <w:sz w:val="18"/>
                <w:szCs w:val="18"/>
              </w:rPr>
            </w:pPr>
          </w:p>
        </w:tc>
        <w:tc>
          <w:tcPr>
            <w:tcW w:w="556" w:type="pct"/>
          </w:tcPr>
          <w:p w14:paraId="0939CDE4" w14:textId="0AC7873D" w:rsidR="00580C77" w:rsidRPr="004514EC" w:rsidRDefault="00580C77" w:rsidP="00580C77">
            <w:pPr>
              <w:rPr>
                <w:b/>
                <w:bCs/>
                <w:color w:val="000000" w:themeColor="text1"/>
                <w:sz w:val="18"/>
                <w:szCs w:val="18"/>
              </w:rPr>
            </w:pPr>
            <w:r w:rsidRPr="004514EC">
              <w:rPr>
                <w:color w:val="000000" w:themeColor="text1"/>
                <w:sz w:val="18"/>
                <w:szCs w:val="18"/>
              </w:rPr>
              <w:t>Behsud</w:t>
            </w:r>
          </w:p>
        </w:tc>
        <w:tc>
          <w:tcPr>
            <w:tcW w:w="473" w:type="pct"/>
            <w:vAlign w:val="center"/>
          </w:tcPr>
          <w:p w14:paraId="5C2F1D01" w14:textId="079D93ED" w:rsidR="00580C77" w:rsidRPr="004514EC" w:rsidRDefault="00580C77" w:rsidP="00580C77">
            <w:pPr>
              <w:jc w:val="center"/>
              <w:rPr>
                <w:bCs/>
                <w:color w:val="000000" w:themeColor="text1"/>
                <w:sz w:val="18"/>
                <w:szCs w:val="18"/>
              </w:rPr>
            </w:pPr>
            <w:r w:rsidRPr="004514EC">
              <w:rPr>
                <w:color w:val="000000" w:themeColor="text1"/>
                <w:sz w:val="18"/>
                <w:szCs w:val="18"/>
              </w:rPr>
              <w:t>53</w:t>
            </w:r>
          </w:p>
        </w:tc>
        <w:tc>
          <w:tcPr>
            <w:tcW w:w="473" w:type="pct"/>
            <w:vAlign w:val="center"/>
          </w:tcPr>
          <w:p w14:paraId="167887EE" w14:textId="4340A1CC" w:rsidR="00580C77" w:rsidRPr="004514EC" w:rsidRDefault="00580C77" w:rsidP="00580C77">
            <w:pPr>
              <w:jc w:val="center"/>
              <w:rPr>
                <w:bCs/>
                <w:color w:val="000000" w:themeColor="text1"/>
                <w:sz w:val="18"/>
                <w:szCs w:val="18"/>
              </w:rPr>
            </w:pPr>
            <w:r w:rsidRPr="004514EC">
              <w:rPr>
                <w:color w:val="000000" w:themeColor="text1"/>
                <w:sz w:val="18"/>
                <w:szCs w:val="18"/>
              </w:rPr>
              <w:t>68</w:t>
            </w:r>
          </w:p>
        </w:tc>
        <w:tc>
          <w:tcPr>
            <w:tcW w:w="594" w:type="pct"/>
            <w:vAlign w:val="center"/>
          </w:tcPr>
          <w:p w14:paraId="290383C3" w14:textId="218BD984" w:rsidR="00580C77" w:rsidRPr="004514EC" w:rsidRDefault="00580C77" w:rsidP="00580C77">
            <w:pPr>
              <w:jc w:val="center"/>
              <w:rPr>
                <w:bCs/>
                <w:color w:val="000000" w:themeColor="text1"/>
                <w:sz w:val="18"/>
                <w:szCs w:val="18"/>
              </w:rPr>
            </w:pPr>
            <w:r w:rsidRPr="004514EC">
              <w:rPr>
                <w:color w:val="000000" w:themeColor="text1"/>
                <w:sz w:val="18"/>
                <w:szCs w:val="18"/>
              </w:rPr>
              <w:t>121</w:t>
            </w:r>
          </w:p>
        </w:tc>
        <w:tc>
          <w:tcPr>
            <w:tcW w:w="1004" w:type="pct"/>
            <w:vAlign w:val="center"/>
          </w:tcPr>
          <w:p w14:paraId="1A3E5F79" w14:textId="0D245E98" w:rsidR="00580C77" w:rsidRPr="00E51FB7" w:rsidRDefault="00580C77" w:rsidP="00580C77">
            <w:pPr>
              <w:jc w:val="center"/>
              <w:rPr>
                <w:bCs/>
                <w:color w:val="000000" w:themeColor="text1"/>
                <w:sz w:val="18"/>
                <w:szCs w:val="18"/>
              </w:rPr>
            </w:pPr>
            <w:r w:rsidRPr="004514EC">
              <w:rPr>
                <w:color w:val="000000" w:themeColor="text1"/>
                <w:sz w:val="18"/>
                <w:szCs w:val="18"/>
              </w:rPr>
              <w:t>25</w:t>
            </w:r>
          </w:p>
        </w:tc>
        <w:tc>
          <w:tcPr>
            <w:tcW w:w="1004" w:type="pct"/>
            <w:vAlign w:val="center"/>
          </w:tcPr>
          <w:p w14:paraId="532006EB" w14:textId="08C71694" w:rsidR="00580C77" w:rsidRPr="004514EC" w:rsidRDefault="00C4155A" w:rsidP="00580C77">
            <w:pPr>
              <w:jc w:val="left"/>
              <w:rPr>
                <w:bCs/>
                <w:color w:val="000000" w:themeColor="text1"/>
                <w:sz w:val="18"/>
                <w:szCs w:val="18"/>
              </w:rPr>
            </w:pPr>
            <w:r>
              <w:rPr>
                <w:bCs/>
                <w:color w:val="000000" w:themeColor="text1"/>
                <w:sz w:val="18"/>
                <w:szCs w:val="18"/>
              </w:rPr>
              <w:t>u</w:t>
            </w:r>
            <w:r w:rsidR="00580C77">
              <w:rPr>
                <w:bCs/>
                <w:color w:val="000000" w:themeColor="text1"/>
                <w:sz w:val="18"/>
                <w:szCs w:val="18"/>
              </w:rPr>
              <w:t>nder 200</w:t>
            </w:r>
            <w:r w:rsidR="00580C77" w:rsidRPr="004514EC">
              <w:rPr>
                <w:bCs/>
                <w:color w:val="000000" w:themeColor="text1"/>
                <w:sz w:val="18"/>
                <w:szCs w:val="18"/>
              </w:rPr>
              <w:t xml:space="preserve"> 000</w:t>
            </w:r>
          </w:p>
        </w:tc>
      </w:tr>
      <w:tr w:rsidR="00580C77" w:rsidRPr="00753442" w14:paraId="561FFEFA" w14:textId="7EFBEEEE" w:rsidTr="00356DFF">
        <w:trPr>
          <w:trHeight w:val="245"/>
        </w:trPr>
        <w:tc>
          <w:tcPr>
            <w:tcW w:w="896" w:type="pct"/>
            <w:noWrap/>
            <w:vAlign w:val="center"/>
          </w:tcPr>
          <w:p w14:paraId="3F83362B" w14:textId="3152A9F9" w:rsidR="00580C77" w:rsidRPr="004514EC" w:rsidRDefault="00580C77" w:rsidP="00580C77">
            <w:pPr>
              <w:jc w:val="left"/>
              <w:rPr>
                <w:color w:val="000000" w:themeColor="text1"/>
                <w:sz w:val="18"/>
                <w:szCs w:val="18"/>
              </w:rPr>
            </w:pPr>
          </w:p>
        </w:tc>
        <w:tc>
          <w:tcPr>
            <w:tcW w:w="556" w:type="pct"/>
          </w:tcPr>
          <w:p w14:paraId="50B3BBA4" w14:textId="239BDC0B" w:rsidR="00580C77" w:rsidRPr="004514EC" w:rsidRDefault="00580C77" w:rsidP="00580C77">
            <w:pPr>
              <w:rPr>
                <w:color w:val="000000" w:themeColor="text1"/>
                <w:sz w:val="18"/>
                <w:szCs w:val="18"/>
              </w:rPr>
            </w:pPr>
            <w:r w:rsidRPr="004514EC">
              <w:rPr>
                <w:color w:val="000000" w:themeColor="text1"/>
                <w:sz w:val="18"/>
                <w:szCs w:val="18"/>
              </w:rPr>
              <w:t>Jalalabad</w:t>
            </w:r>
          </w:p>
        </w:tc>
        <w:tc>
          <w:tcPr>
            <w:tcW w:w="473" w:type="pct"/>
            <w:vAlign w:val="center"/>
          </w:tcPr>
          <w:p w14:paraId="27C1F0E1" w14:textId="58B9F412" w:rsidR="00580C77" w:rsidRPr="004514EC" w:rsidRDefault="00580C77" w:rsidP="00580C77">
            <w:pPr>
              <w:jc w:val="center"/>
              <w:rPr>
                <w:color w:val="000000" w:themeColor="text1"/>
                <w:sz w:val="18"/>
                <w:szCs w:val="18"/>
              </w:rPr>
            </w:pPr>
            <w:r w:rsidRPr="004514EC">
              <w:rPr>
                <w:color w:val="000000" w:themeColor="text1"/>
                <w:sz w:val="18"/>
                <w:szCs w:val="18"/>
              </w:rPr>
              <w:t>157</w:t>
            </w:r>
          </w:p>
        </w:tc>
        <w:tc>
          <w:tcPr>
            <w:tcW w:w="473" w:type="pct"/>
            <w:vAlign w:val="center"/>
          </w:tcPr>
          <w:p w14:paraId="5642B8BC" w14:textId="70D53B3D" w:rsidR="00580C77" w:rsidRPr="004514EC" w:rsidRDefault="00580C77" w:rsidP="00580C77">
            <w:pPr>
              <w:jc w:val="center"/>
              <w:rPr>
                <w:color w:val="000000" w:themeColor="text1"/>
                <w:sz w:val="18"/>
                <w:szCs w:val="18"/>
              </w:rPr>
            </w:pPr>
            <w:r w:rsidRPr="004514EC">
              <w:rPr>
                <w:color w:val="000000" w:themeColor="text1"/>
                <w:sz w:val="18"/>
                <w:szCs w:val="18"/>
              </w:rPr>
              <w:t>119</w:t>
            </w:r>
          </w:p>
        </w:tc>
        <w:tc>
          <w:tcPr>
            <w:tcW w:w="594" w:type="pct"/>
            <w:vAlign w:val="center"/>
          </w:tcPr>
          <w:p w14:paraId="58B5EBB2" w14:textId="3F4E9829" w:rsidR="00580C77" w:rsidRPr="004514EC" w:rsidRDefault="00580C77" w:rsidP="00580C77">
            <w:pPr>
              <w:jc w:val="center"/>
              <w:rPr>
                <w:color w:val="000000" w:themeColor="text1"/>
                <w:sz w:val="18"/>
                <w:szCs w:val="18"/>
              </w:rPr>
            </w:pPr>
            <w:r w:rsidRPr="004514EC">
              <w:rPr>
                <w:color w:val="000000" w:themeColor="text1"/>
                <w:sz w:val="18"/>
                <w:szCs w:val="18"/>
              </w:rPr>
              <w:t>276</w:t>
            </w:r>
          </w:p>
        </w:tc>
        <w:tc>
          <w:tcPr>
            <w:tcW w:w="1004" w:type="pct"/>
            <w:vAlign w:val="center"/>
          </w:tcPr>
          <w:p w14:paraId="123DFE29" w14:textId="45302041" w:rsidR="00580C77" w:rsidRPr="004514EC" w:rsidRDefault="00580C77" w:rsidP="00580C77">
            <w:pPr>
              <w:jc w:val="center"/>
              <w:rPr>
                <w:color w:val="000000" w:themeColor="text1"/>
                <w:sz w:val="18"/>
                <w:szCs w:val="18"/>
              </w:rPr>
            </w:pPr>
            <w:r w:rsidRPr="004514EC">
              <w:rPr>
                <w:color w:val="000000" w:themeColor="text1"/>
                <w:sz w:val="18"/>
                <w:szCs w:val="18"/>
              </w:rPr>
              <w:t>44</w:t>
            </w:r>
          </w:p>
        </w:tc>
        <w:tc>
          <w:tcPr>
            <w:tcW w:w="1004" w:type="pct"/>
            <w:vAlign w:val="center"/>
          </w:tcPr>
          <w:p w14:paraId="02A65525" w14:textId="625242C4" w:rsidR="00580C77" w:rsidRPr="004514EC" w:rsidRDefault="00580C77" w:rsidP="00580C77">
            <w:pPr>
              <w:jc w:val="left"/>
              <w:rPr>
                <w:bCs/>
                <w:color w:val="000000" w:themeColor="text1"/>
                <w:sz w:val="18"/>
                <w:szCs w:val="18"/>
              </w:rPr>
            </w:pPr>
            <w:r>
              <w:rPr>
                <w:bCs/>
                <w:color w:val="000000" w:themeColor="text1"/>
                <w:sz w:val="18"/>
                <w:szCs w:val="18"/>
              </w:rPr>
              <w:t>120</w:t>
            </w:r>
            <w:r w:rsidRPr="004514EC">
              <w:rPr>
                <w:bCs/>
                <w:color w:val="000000" w:themeColor="text1"/>
                <w:sz w:val="18"/>
                <w:szCs w:val="18"/>
              </w:rPr>
              <w:t xml:space="preserve"> 000</w:t>
            </w:r>
          </w:p>
        </w:tc>
      </w:tr>
      <w:tr w:rsidR="00580C77" w:rsidRPr="00753442" w14:paraId="6BED059E" w14:textId="793ACF70" w:rsidTr="00356DFF">
        <w:trPr>
          <w:trHeight w:val="245"/>
        </w:trPr>
        <w:tc>
          <w:tcPr>
            <w:tcW w:w="896" w:type="pct"/>
            <w:noWrap/>
            <w:vAlign w:val="center"/>
          </w:tcPr>
          <w:p w14:paraId="2485AB91" w14:textId="4B4F7CCA" w:rsidR="00580C77" w:rsidRPr="004514EC" w:rsidRDefault="00580C77" w:rsidP="00580C77">
            <w:pPr>
              <w:jc w:val="left"/>
              <w:rPr>
                <w:color w:val="000000" w:themeColor="text1"/>
                <w:sz w:val="18"/>
                <w:szCs w:val="18"/>
              </w:rPr>
            </w:pPr>
          </w:p>
        </w:tc>
        <w:tc>
          <w:tcPr>
            <w:tcW w:w="556" w:type="pct"/>
          </w:tcPr>
          <w:p w14:paraId="1AA2B471" w14:textId="2D556445" w:rsidR="00580C77" w:rsidRPr="004514EC" w:rsidRDefault="00580C77" w:rsidP="00580C77">
            <w:pPr>
              <w:rPr>
                <w:color w:val="000000" w:themeColor="text1"/>
                <w:sz w:val="18"/>
                <w:szCs w:val="18"/>
              </w:rPr>
            </w:pPr>
            <w:r w:rsidRPr="004514EC">
              <w:rPr>
                <w:color w:val="000000" w:themeColor="text1"/>
                <w:sz w:val="18"/>
                <w:szCs w:val="18"/>
              </w:rPr>
              <w:t>Surkhrod*</w:t>
            </w:r>
          </w:p>
        </w:tc>
        <w:tc>
          <w:tcPr>
            <w:tcW w:w="473" w:type="pct"/>
            <w:vAlign w:val="center"/>
          </w:tcPr>
          <w:p w14:paraId="37139EFC" w14:textId="08D83B4A" w:rsidR="00580C77" w:rsidRPr="004514EC" w:rsidRDefault="00580C77" w:rsidP="00580C77">
            <w:pPr>
              <w:jc w:val="center"/>
              <w:rPr>
                <w:color w:val="000000" w:themeColor="text1"/>
                <w:sz w:val="18"/>
                <w:szCs w:val="18"/>
              </w:rPr>
            </w:pPr>
            <w:r w:rsidRPr="004514EC">
              <w:rPr>
                <w:color w:val="000000" w:themeColor="text1"/>
                <w:sz w:val="18"/>
                <w:szCs w:val="18"/>
              </w:rPr>
              <w:t>92</w:t>
            </w:r>
          </w:p>
        </w:tc>
        <w:tc>
          <w:tcPr>
            <w:tcW w:w="473" w:type="pct"/>
            <w:vAlign w:val="center"/>
          </w:tcPr>
          <w:p w14:paraId="06C70410" w14:textId="6A673071" w:rsidR="00580C77" w:rsidRPr="004514EC" w:rsidRDefault="00580C77" w:rsidP="00580C77">
            <w:pPr>
              <w:jc w:val="center"/>
              <w:rPr>
                <w:color w:val="000000" w:themeColor="text1"/>
                <w:sz w:val="18"/>
                <w:szCs w:val="18"/>
              </w:rPr>
            </w:pPr>
            <w:r w:rsidRPr="004514EC">
              <w:rPr>
                <w:color w:val="000000" w:themeColor="text1"/>
                <w:sz w:val="18"/>
                <w:szCs w:val="18"/>
              </w:rPr>
              <w:t>71</w:t>
            </w:r>
          </w:p>
        </w:tc>
        <w:tc>
          <w:tcPr>
            <w:tcW w:w="594" w:type="pct"/>
            <w:vAlign w:val="center"/>
          </w:tcPr>
          <w:p w14:paraId="1BF39D7A" w14:textId="13BA3F7D" w:rsidR="00580C77" w:rsidRPr="004514EC" w:rsidRDefault="00580C77" w:rsidP="00580C77">
            <w:pPr>
              <w:jc w:val="center"/>
              <w:rPr>
                <w:color w:val="000000" w:themeColor="text1"/>
                <w:sz w:val="18"/>
                <w:szCs w:val="18"/>
              </w:rPr>
            </w:pPr>
            <w:r w:rsidRPr="004514EC">
              <w:rPr>
                <w:color w:val="000000" w:themeColor="text1"/>
                <w:sz w:val="18"/>
                <w:szCs w:val="18"/>
              </w:rPr>
              <w:t>163</w:t>
            </w:r>
          </w:p>
        </w:tc>
        <w:tc>
          <w:tcPr>
            <w:tcW w:w="1004" w:type="pct"/>
            <w:vAlign w:val="center"/>
          </w:tcPr>
          <w:p w14:paraId="590D3377" w14:textId="6B22491E" w:rsidR="00580C77" w:rsidRPr="004514EC" w:rsidRDefault="00580C77" w:rsidP="00580C77">
            <w:pPr>
              <w:jc w:val="center"/>
              <w:rPr>
                <w:color w:val="000000" w:themeColor="text1"/>
                <w:sz w:val="18"/>
                <w:szCs w:val="18"/>
              </w:rPr>
            </w:pPr>
            <w:r w:rsidRPr="004514EC">
              <w:rPr>
                <w:color w:val="000000" w:themeColor="text1"/>
                <w:sz w:val="18"/>
                <w:szCs w:val="18"/>
              </w:rPr>
              <w:t>6</w:t>
            </w:r>
          </w:p>
        </w:tc>
        <w:tc>
          <w:tcPr>
            <w:tcW w:w="1004" w:type="pct"/>
            <w:vAlign w:val="center"/>
          </w:tcPr>
          <w:p w14:paraId="70FCBBF3" w14:textId="1D5BF245" w:rsidR="00580C77" w:rsidRPr="004514EC" w:rsidRDefault="00C4155A" w:rsidP="00580C77">
            <w:pPr>
              <w:jc w:val="left"/>
              <w:rPr>
                <w:bCs/>
                <w:color w:val="000000" w:themeColor="text1"/>
                <w:sz w:val="18"/>
                <w:szCs w:val="18"/>
              </w:rPr>
            </w:pPr>
            <w:r>
              <w:rPr>
                <w:bCs/>
                <w:color w:val="000000" w:themeColor="text1"/>
                <w:sz w:val="18"/>
                <w:szCs w:val="18"/>
              </w:rPr>
              <w:t>u</w:t>
            </w:r>
            <w:r w:rsidR="00580C77" w:rsidRPr="004514EC">
              <w:rPr>
                <w:bCs/>
                <w:color w:val="000000" w:themeColor="text1"/>
                <w:sz w:val="18"/>
                <w:szCs w:val="18"/>
              </w:rPr>
              <w:t>nder 80 000</w:t>
            </w:r>
          </w:p>
        </w:tc>
      </w:tr>
      <w:tr w:rsidR="00580C77" w:rsidRPr="00753442" w14:paraId="73EECFED" w14:textId="67C4F8C8" w:rsidTr="00356DFF">
        <w:trPr>
          <w:trHeight w:val="245"/>
        </w:trPr>
        <w:tc>
          <w:tcPr>
            <w:tcW w:w="896" w:type="pct"/>
            <w:noWrap/>
            <w:vAlign w:val="center"/>
          </w:tcPr>
          <w:p w14:paraId="7EFD765B" w14:textId="3FF46F7A" w:rsidR="00580C77" w:rsidRPr="004514EC" w:rsidRDefault="00580C77" w:rsidP="00580C77">
            <w:pPr>
              <w:jc w:val="left"/>
              <w:rPr>
                <w:color w:val="000000" w:themeColor="text1"/>
                <w:sz w:val="18"/>
                <w:szCs w:val="18"/>
              </w:rPr>
            </w:pPr>
            <w:r w:rsidRPr="004514EC">
              <w:rPr>
                <w:b/>
                <w:bCs/>
                <w:color w:val="000000" w:themeColor="text1"/>
                <w:sz w:val="18"/>
                <w:szCs w:val="18"/>
              </w:rPr>
              <w:t>Chamtala*</w:t>
            </w:r>
          </w:p>
        </w:tc>
        <w:tc>
          <w:tcPr>
            <w:tcW w:w="556" w:type="pct"/>
          </w:tcPr>
          <w:p w14:paraId="2F497E14" w14:textId="62640916" w:rsidR="00580C77" w:rsidRPr="004514EC" w:rsidRDefault="00580C77" w:rsidP="00580C77">
            <w:pPr>
              <w:rPr>
                <w:color w:val="000000" w:themeColor="text1"/>
                <w:sz w:val="18"/>
                <w:szCs w:val="18"/>
              </w:rPr>
            </w:pPr>
          </w:p>
        </w:tc>
        <w:tc>
          <w:tcPr>
            <w:tcW w:w="473" w:type="pct"/>
            <w:vAlign w:val="center"/>
          </w:tcPr>
          <w:p w14:paraId="5CB279EB" w14:textId="6B6A09F8" w:rsidR="00580C77" w:rsidRPr="004514EC" w:rsidRDefault="00580C77" w:rsidP="00580C77">
            <w:pPr>
              <w:jc w:val="center"/>
              <w:rPr>
                <w:color w:val="000000" w:themeColor="text1"/>
                <w:sz w:val="18"/>
                <w:szCs w:val="18"/>
              </w:rPr>
            </w:pPr>
            <w:r w:rsidRPr="004514EC">
              <w:rPr>
                <w:bCs/>
                <w:color w:val="000000" w:themeColor="text1"/>
                <w:sz w:val="18"/>
                <w:szCs w:val="18"/>
              </w:rPr>
              <w:t>23</w:t>
            </w:r>
          </w:p>
        </w:tc>
        <w:tc>
          <w:tcPr>
            <w:tcW w:w="473" w:type="pct"/>
            <w:vAlign w:val="center"/>
          </w:tcPr>
          <w:p w14:paraId="45FC05C3" w14:textId="5E0D652E" w:rsidR="00580C77" w:rsidRPr="004514EC" w:rsidRDefault="00580C77" w:rsidP="00580C77">
            <w:pPr>
              <w:jc w:val="center"/>
              <w:rPr>
                <w:color w:val="000000" w:themeColor="text1"/>
                <w:sz w:val="18"/>
                <w:szCs w:val="18"/>
              </w:rPr>
            </w:pPr>
            <w:r w:rsidRPr="004514EC">
              <w:rPr>
                <w:bCs/>
                <w:color w:val="000000" w:themeColor="text1"/>
                <w:sz w:val="18"/>
                <w:szCs w:val="18"/>
              </w:rPr>
              <w:t>28</w:t>
            </w:r>
          </w:p>
        </w:tc>
        <w:tc>
          <w:tcPr>
            <w:tcW w:w="594" w:type="pct"/>
            <w:vAlign w:val="center"/>
          </w:tcPr>
          <w:p w14:paraId="7075D810" w14:textId="42EF79BE" w:rsidR="00580C77" w:rsidRPr="004514EC" w:rsidRDefault="00580C77" w:rsidP="00580C77">
            <w:pPr>
              <w:jc w:val="center"/>
              <w:rPr>
                <w:color w:val="000000" w:themeColor="text1"/>
                <w:sz w:val="18"/>
                <w:szCs w:val="18"/>
              </w:rPr>
            </w:pPr>
            <w:r w:rsidRPr="004514EC">
              <w:rPr>
                <w:bCs/>
                <w:color w:val="000000" w:themeColor="text1"/>
                <w:sz w:val="18"/>
                <w:szCs w:val="18"/>
              </w:rPr>
              <w:t>51</w:t>
            </w:r>
          </w:p>
        </w:tc>
        <w:tc>
          <w:tcPr>
            <w:tcW w:w="1004" w:type="pct"/>
            <w:vAlign w:val="center"/>
          </w:tcPr>
          <w:p w14:paraId="391F2EA0" w14:textId="781E344E" w:rsidR="00580C77" w:rsidRPr="004514EC" w:rsidRDefault="00580C77" w:rsidP="00580C77">
            <w:pPr>
              <w:jc w:val="center"/>
              <w:rPr>
                <w:color w:val="000000" w:themeColor="text1"/>
                <w:sz w:val="18"/>
                <w:szCs w:val="18"/>
              </w:rPr>
            </w:pPr>
          </w:p>
        </w:tc>
        <w:tc>
          <w:tcPr>
            <w:tcW w:w="1004" w:type="pct"/>
            <w:vAlign w:val="center"/>
          </w:tcPr>
          <w:p w14:paraId="222762A0" w14:textId="39C97CB6" w:rsidR="00580C77" w:rsidRPr="004514EC" w:rsidRDefault="00580C77" w:rsidP="00580C77">
            <w:pPr>
              <w:jc w:val="left"/>
              <w:rPr>
                <w:bCs/>
                <w:color w:val="000000" w:themeColor="text1"/>
                <w:sz w:val="18"/>
                <w:szCs w:val="18"/>
              </w:rPr>
            </w:pPr>
            <w:r w:rsidRPr="004514EC">
              <w:rPr>
                <w:bCs/>
                <w:color w:val="000000" w:themeColor="text1"/>
                <w:sz w:val="18"/>
                <w:szCs w:val="18"/>
              </w:rPr>
              <w:t>48 000</w:t>
            </w:r>
          </w:p>
        </w:tc>
      </w:tr>
      <w:tr w:rsidR="00580C77" w:rsidRPr="00753442" w14:paraId="661C339C" w14:textId="466FC412" w:rsidTr="00356DFF">
        <w:trPr>
          <w:trHeight w:val="245"/>
        </w:trPr>
        <w:tc>
          <w:tcPr>
            <w:tcW w:w="896" w:type="pct"/>
            <w:noWrap/>
            <w:vAlign w:val="center"/>
          </w:tcPr>
          <w:p w14:paraId="2BABA984" w14:textId="1F656EF1" w:rsidR="00580C77" w:rsidRPr="004514EC" w:rsidRDefault="00580C77" w:rsidP="00580C77">
            <w:pPr>
              <w:jc w:val="left"/>
              <w:rPr>
                <w:b/>
                <w:bCs/>
                <w:color w:val="000000" w:themeColor="text1"/>
                <w:sz w:val="18"/>
                <w:szCs w:val="18"/>
              </w:rPr>
            </w:pPr>
            <w:r w:rsidRPr="004514EC">
              <w:rPr>
                <w:b/>
                <w:bCs/>
                <w:color w:val="000000" w:themeColor="text1"/>
                <w:sz w:val="18"/>
                <w:szCs w:val="18"/>
              </w:rPr>
              <w:t>Kabul camp</w:t>
            </w:r>
          </w:p>
        </w:tc>
        <w:tc>
          <w:tcPr>
            <w:tcW w:w="556" w:type="pct"/>
          </w:tcPr>
          <w:p w14:paraId="2D80AEF7" w14:textId="77777777" w:rsidR="00580C77" w:rsidRPr="004514EC" w:rsidRDefault="00580C77" w:rsidP="00580C77">
            <w:pPr>
              <w:rPr>
                <w:b/>
                <w:bCs/>
                <w:color w:val="000000" w:themeColor="text1"/>
                <w:sz w:val="18"/>
                <w:szCs w:val="18"/>
              </w:rPr>
            </w:pPr>
          </w:p>
        </w:tc>
        <w:tc>
          <w:tcPr>
            <w:tcW w:w="473" w:type="pct"/>
            <w:vAlign w:val="center"/>
          </w:tcPr>
          <w:p w14:paraId="7392EE83" w14:textId="01C22D02" w:rsidR="00580C77" w:rsidRPr="004514EC" w:rsidRDefault="00580C77" w:rsidP="00580C77">
            <w:pPr>
              <w:jc w:val="center"/>
              <w:rPr>
                <w:bCs/>
                <w:color w:val="000000" w:themeColor="text1"/>
                <w:sz w:val="18"/>
                <w:szCs w:val="18"/>
              </w:rPr>
            </w:pPr>
            <w:r w:rsidRPr="004514EC">
              <w:rPr>
                <w:bCs/>
                <w:color w:val="000000" w:themeColor="text1"/>
                <w:sz w:val="18"/>
                <w:szCs w:val="18"/>
              </w:rPr>
              <w:t>46</w:t>
            </w:r>
          </w:p>
        </w:tc>
        <w:tc>
          <w:tcPr>
            <w:tcW w:w="473" w:type="pct"/>
            <w:vAlign w:val="center"/>
          </w:tcPr>
          <w:p w14:paraId="66D51551" w14:textId="114565DE" w:rsidR="00580C77" w:rsidRPr="004514EC" w:rsidRDefault="00580C77" w:rsidP="00580C77">
            <w:pPr>
              <w:jc w:val="center"/>
              <w:rPr>
                <w:bCs/>
                <w:color w:val="000000" w:themeColor="text1"/>
                <w:sz w:val="18"/>
                <w:szCs w:val="18"/>
              </w:rPr>
            </w:pPr>
            <w:r w:rsidRPr="004514EC">
              <w:rPr>
                <w:bCs/>
                <w:color w:val="000000" w:themeColor="text1"/>
                <w:sz w:val="18"/>
                <w:szCs w:val="18"/>
              </w:rPr>
              <w:t>74</w:t>
            </w:r>
          </w:p>
        </w:tc>
        <w:tc>
          <w:tcPr>
            <w:tcW w:w="594" w:type="pct"/>
            <w:vAlign w:val="center"/>
          </w:tcPr>
          <w:p w14:paraId="179FBCD7" w14:textId="2E61BBB6" w:rsidR="00580C77" w:rsidRPr="004514EC" w:rsidRDefault="00580C77" w:rsidP="00580C77">
            <w:pPr>
              <w:jc w:val="center"/>
              <w:rPr>
                <w:bCs/>
                <w:color w:val="000000" w:themeColor="text1"/>
                <w:sz w:val="18"/>
                <w:szCs w:val="18"/>
              </w:rPr>
            </w:pPr>
            <w:r w:rsidRPr="004514EC">
              <w:rPr>
                <w:bCs/>
                <w:color w:val="000000" w:themeColor="text1"/>
                <w:sz w:val="18"/>
                <w:szCs w:val="18"/>
              </w:rPr>
              <w:t>120</w:t>
            </w:r>
          </w:p>
        </w:tc>
        <w:tc>
          <w:tcPr>
            <w:tcW w:w="1004" w:type="pct"/>
            <w:vAlign w:val="center"/>
          </w:tcPr>
          <w:p w14:paraId="2110467D" w14:textId="77777777" w:rsidR="00580C77" w:rsidRPr="004514EC" w:rsidRDefault="00580C77" w:rsidP="00580C77">
            <w:pPr>
              <w:jc w:val="center"/>
              <w:rPr>
                <w:b/>
                <w:bCs/>
                <w:color w:val="000000" w:themeColor="text1"/>
                <w:sz w:val="18"/>
                <w:szCs w:val="18"/>
              </w:rPr>
            </w:pPr>
          </w:p>
        </w:tc>
        <w:tc>
          <w:tcPr>
            <w:tcW w:w="1004" w:type="pct"/>
            <w:vAlign w:val="center"/>
          </w:tcPr>
          <w:p w14:paraId="6C258835" w14:textId="766AF939" w:rsidR="00580C77" w:rsidRPr="004514EC" w:rsidRDefault="00580C77" w:rsidP="00580C77">
            <w:pPr>
              <w:jc w:val="left"/>
              <w:rPr>
                <w:bCs/>
                <w:color w:val="000000" w:themeColor="text1"/>
                <w:sz w:val="18"/>
                <w:szCs w:val="18"/>
              </w:rPr>
            </w:pPr>
            <w:r>
              <w:rPr>
                <w:bCs/>
                <w:color w:val="000000" w:themeColor="text1"/>
                <w:sz w:val="18"/>
                <w:szCs w:val="18"/>
              </w:rPr>
              <w:t xml:space="preserve">10 000 to </w:t>
            </w:r>
            <w:r w:rsidRPr="004514EC">
              <w:rPr>
                <w:bCs/>
                <w:color w:val="000000" w:themeColor="text1"/>
                <w:sz w:val="18"/>
                <w:szCs w:val="18"/>
              </w:rPr>
              <w:t>15 000</w:t>
            </w:r>
          </w:p>
        </w:tc>
      </w:tr>
      <w:tr w:rsidR="00580C77" w:rsidRPr="00753442" w14:paraId="7D9B9E6F" w14:textId="2FCEF542" w:rsidTr="00356DFF">
        <w:trPr>
          <w:trHeight w:val="245"/>
        </w:trPr>
        <w:tc>
          <w:tcPr>
            <w:tcW w:w="896" w:type="pct"/>
            <w:noWrap/>
            <w:vAlign w:val="center"/>
          </w:tcPr>
          <w:p w14:paraId="32E07D5A" w14:textId="115DE24E" w:rsidR="00580C77" w:rsidRPr="004514EC" w:rsidRDefault="00580C77" w:rsidP="00580C77">
            <w:pPr>
              <w:jc w:val="left"/>
              <w:rPr>
                <w:b/>
                <w:bCs/>
                <w:color w:val="000000" w:themeColor="text1"/>
                <w:sz w:val="18"/>
                <w:szCs w:val="18"/>
              </w:rPr>
            </w:pPr>
            <w:r w:rsidRPr="004514EC">
              <w:rPr>
                <w:b/>
                <w:bCs/>
                <w:sz w:val="18"/>
                <w:szCs w:val="18"/>
              </w:rPr>
              <w:t>Bar Shegi (Kunar) *</w:t>
            </w:r>
          </w:p>
        </w:tc>
        <w:tc>
          <w:tcPr>
            <w:tcW w:w="556" w:type="pct"/>
          </w:tcPr>
          <w:p w14:paraId="17A1CF8F" w14:textId="77777777" w:rsidR="00580C77" w:rsidRPr="004514EC" w:rsidRDefault="00580C77" w:rsidP="00580C77">
            <w:pPr>
              <w:rPr>
                <w:b/>
                <w:bCs/>
                <w:color w:val="000000" w:themeColor="text1"/>
                <w:sz w:val="18"/>
                <w:szCs w:val="18"/>
              </w:rPr>
            </w:pPr>
          </w:p>
        </w:tc>
        <w:tc>
          <w:tcPr>
            <w:tcW w:w="473" w:type="pct"/>
            <w:vAlign w:val="center"/>
          </w:tcPr>
          <w:p w14:paraId="6935BE7C" w14:textId="00E8042F" w:rsidR="00580C77" w:rsidRPr="004514EC" w:rsidRDefault="00580C77" w:rsidP="00580C77">
            <w:pPr>
              <w:jc w:val="center"/>
              <w:rPr>
                <w:bCs/>
                <w:color w:val="000000" w:themeColor="text1"/>
                <w:sz w:val="18"/>
                <w:szCs w:val="18"/>
              </w:rPr>
            </w:pPr>
            <w:r w:rsidRPr="004514EC">
              <w:rPr>
                <w:bCs/>
                <w:color w:val="000000" w:themeColor="text1"/>
                <w:sz w:val="18"/>
                <w:szCs w:val="18"/>
              </w:rPr>
              <w:t>2</w:t>
            </w:r>
          </w:p>
        </w:tc>
        <w:tc>
          <w:tcPr>
            <w:tcW w:w="473" w:type="pct"/>
            <w:vAlign w:val="center"/>
          </w:tcPr>
          <w:p w14:paraId="4DD97E40" w14:textId="5FF537F1" w:rsidR="00580C77" w:rsidRPr="004514EC" w:rsidRDefault="00580C77" w:rsidP="00580C77">
            <w:pPr>
              <w:jc w:val="center"/>
              <w:rPr>
                <w:bCs/>
                <w:color w:val="000000" w:themeColor="text1"/>
                <w:sz w:val="18"/>
                <w:szCs w:val="18"/>
              </w:rPr>
            </w:pPr>
            <w:r w:rsidRPr="004514EC">
              <w:rPr>
                <w:bCs/>
                <w:color w:val="000000" w:themeColor="text1"/>
                <w:sz w:val="18"/>
                <w:szCs w:val="18"/>
              </w:rPr>
              <w:t>14</w:t>
            </w:r>
          </w:p>
        </w:tc>
        <w:tc>
          <w:tcPr>
            <w:tcW w:w="594" w:type="pct"/>
            <w:vAlign w:val="center"/>
          </w:tcPr>
          <w:p w14:paraId="2BCD49F9" w14:textId="5D701395" w:rsidR="00580C77" w:rsidRPr="004514EC" w:rsidRDefault="00580C77" w:rsidP="00580C77">
            <w:pPr>
              <w:jc w:val="center"/>
              <w:rPr>
                <w:bCs/>
                <w:color w:val="000000" w:themeColor="text1"/>
                <w:sz w:val="18"/>
                <w:szCs w:val="18"/>
              </w:rPr>
            </w:pPr>
            <w:r w:rsidRPr="004514EC">
              <w:rPr>
                <w:bCs/>
                <w:color w:val="000000" w:themeColor="text1"/>
                <w:sz w:val="18"/>
                <w:szCs w:val="18"/>
              </w:rPr>
              <w:t>16</w:t>
            </w:r>
          </w:p>
        </w:tc>
        <w:tc>
          <w:tcPr>
            <w:tcW w:w="1004" w:type="pct"/>
            <w:vAlign w:val="center"/>
          </w:tcPr>
          <w:p w14:paraId="2FEF5244" w14:textId="77777777" w:rsidR="00580C77" w:rsidRPr="004514EC" w:rsidRDefault="00580C77" w:rsidP="00580C77">
            <w:pPr>
              <w:jc w:val="center"/>
              <w:rPr>
                <w:b/>
                <w:bCs/>
                <w:color w:val="000000" w:themeColor="text1"/>
                <w:sz w:val="18"/>
                <w:szCs w:val="18"/>
              </w:rPr>
            </w:pPr>
          </w:p>
        </w:tc>
        <w:tc>
          <w:tcPr>
            <w:tcW w:w="1004" w:type="pct"/>
            <w:vAlign w:val="center"/>
          </w:tcPr>
          <w:p w14:paraId="04790726" w14:textId="7ADABB2A" w:rsidR="00580C77" w:rsidRPr="004514EC" w:rsidRDefault="00580C77" w:rsidP="00580C77">
            <w:pPr>
              <w:jc w:val="left"/>
              <w:rPr>
                <w:bCs/>
                <w:color w:val="000000" w:themeColor="text1"/>
                <w:sz w:val="18"/>
                <w:szCs w:val="18"/>
              </w:rPr>
            </w:pPr>
            <w:r w:rsidRPr="004514EC">
              <w:rPr>
                <w:bCs/>
                <w:color w:val="000000" w:themeColor="text1"/>
                <w:sz w:val="18"/>
                <w:szCs w:val="18"/>
              </w:rPr>
              <w:t>under 10 000</w:t>
            </w:r>
          </w:p>
        </w:tc>
      </w:tr>
      <w:tr w:rsidR="00580C77" w:rsidRPr="00753442" w14:paraId="363F0093" w14:textId="3A42CDDE" w:rsidTr="00356DFF">
        <w:trPr>
          <w:trHeight w:val="245"/>
        </w:trPr>
        <w:tc>
          <w:tcPr>
            <w:tcW w:w="896" w:type="pct"/>
            <w:noWrap/>
            <w:vAlign w:val="center"/>
          </w:tcPr>
          <w:p w14:paraId="6A54DB48" w14:textId="59BF7A24" w:rsidR="00580C77" w:rsidRPr="004514EC" w:rsidRDefault="00580C77" w:rsidP="00580C77">
            <w:pPr>
              <w:jc w:val="left"/>
              <w:rPr>
                <w:b/>
                <w:bCs/>
                <w:color w:val="000000" w:themeColor="text1"/>
                <w:sz w:val="18"/>
                <w:szCs w:val="18"/>
              </w:rPr>
            </w:pPr>
            <w:r w:rsidRPr="004514EC">
              <w:rPr>
                <w:b/>
                <w:bCs/>
                <w:sz w:val="18"/>
                <w:szCs w:val="18"/>
              </w:rPr>
              <w:t>Harchar (Mehtarlam)</w:t>
            </w:r>
          </w:p>
        </w:tc>
        <w:tc>
          <w:tcPr>
            <w:tcW w:w="556" w:type="pct"/>
          </w:tcPr>
          <w:p w14:paraId="47626EFB" w14:textId="77777777" w:rsidR="00580C77" w:rsidRPr="004514EC" w:rsidRDefault="00580C77" w:rsidP="00580C77">
            <w:pPr>
              <w:rPr>
                <w:b/>
                <w:bCs/>
                <w:color w:val="000000" w:themeColor="text1"/>
                <w:sz w:val="18"/>
                <w:szCs w:val="18"/>
              </w:rPr>
            </w:pPr>
          </w:p>
        </w:tc>
        <w:tc>
          <w:tcPr>
            <w:tcW w:w="473" w:type="pct"/>
            <w:vAlign w:val="center"/>
          </w:tcPr>
          <w:p w14:paraId="546D49D9" w14:textId="344B2AA7" w:rsidR="00580C77" w:rsidRPr="004514EC" w:rsidRDefault="00580C77" w:rsidP="00580C77">
            <w:pPr>
              <w:jc w:val="center"/>
              <w:rPr>
                <w:bCs/>
                <w:color w:val="000000" w:themeColor="text1"/>
                <w:sz w:val="18"/>
                <w:szCs w:val="18"/>
              </w:rPr>
            </w:pPr>
            <w:r w:rsidRPr="004514EC">
              <w:rPr>
                <w:bCs/>
                <w:color w:val="000000" w:themeColor="text1"/>
                <w:sz w:val="18"/>
                <w:szCs w:val="18"/>
              </w:rPr>
              <w:t>9</w:t>
            </w:r>
          </w:p>
        </w:tc>
        <w:tc>
          <w:tcPr>
            <w:tcW w:w="473" w:type="pct"/>
            <w:vAlign w:val="center"/>
          </w:tcPr>
          <w:p w14:paraId="7FB6EADC" w14:textId="42B00DD4" w:rsidR="00580C77" w:rsidRPr="004514EC" w:rsidRDefault="00580C77" w:rsidP="00580C77">
            <w:pPr>
              <w:jc w:val="center"/>
              <w:rPr>
                <w:bCs/>
                <w:color w:val="000000" w:themeColor="text1"/>
                <w:sz w:val="18"/>
                <w:szCs w:val="18"/>
              </w:rPr>
            </w:pPr>
            <w:r w:rsidRPr="004514EC">
              <w:rPr>
                <w:bCs/>
                <w:color w:val="000000" w:themeColor="text1"/>
                <w:sz w:val="18"/>
                <w:szCs w:val="18"/>
              </w:rPr>
              <w:t>12</w:t>
            </w:r>
          </w:p>
        </w:tc>
        <w:tc>
          <w:tcPr>
            <w:tcW w:w="594" w:type="pct"/>
            <w:vAlign w:val="center"/>
          </w:tcPr>
          <w:p w14:paraId="275D02BE" w14:textId="770F4A97" w:rsidR="00580C77" w:rsidRPr="004514EC" w:rsidRDefault="00580C77" w:rsidP="00580C77">
            <w:pPr>
              <w:jc w:val="center"/>
              <w:rPr>
                <w:bCs/>
                <w:color w:val="000000" w:themeColor="text1"/>
                <w:sz w:val="18"/>
                <w:szCs w:val="18"/>
              </w:rPr>
            </w:pPr>
            <w:r w:rsidRPr="004514EC">
              <w:rPr>
                <w:bCs/>
                <w:color w:val="000000" w:themeColor="text1"/>
                <w:sz w:val="18"/>
                <w:szCs w:val="18"/>
              </w:rPr>
              <w:t>21</w:t>
            </w:r>
          </w:p>
        </w:tc>
        <w:tc>
          <w:tcPr>
            <w:tcW w:w="1004" w:type="pct"/>
            <w:vAlign w:val="center"/>
          </w:tcPr>
          <w:p w14:paraId="497E5B7F" w14:textId="77777777" w:rsidR="00580C77" w:rsidRPr="004514EC" w:rsidRDefault="00580C77" w:rsidP="00580C77">
            <w:pPr>
              <w:jc w:val="center"/>
              <w:rPr>
                <w:b/>
                <w:bCs/>
                <w:color w:val="000000" w:themeColor="text1"/>
                <w:sz w:val="18"/>
                <w:szCs w:val="18"/>
              </w:rPr>
            </w:pPr>
          </w:p>
        </w:tc>
        <w:tc>
          <w:tcPr>
            <w:tcW w:w="1004" w:type="pct"/>
            <w:vAlign w:val="center"/>
          </w:tcPr>
          <w:p w14:paraId="16C468FE" w14:textId="20AD7520" w:rsidR="00580C77" w:rsidRPr="004514EC" w:rsidRDefault="00C4155A" w:rsidP="00580C77">
            <w:pPr>
              <w:jc w:val="left"/>
              <w:rPr>
                <w:bCs/>
                <w:color w:val="000000" w:themeColor="text1"/>
                <w:sz w:val="18"/>
                <w:szCs w:val="18"/>
              </w:rPr>
            </w:pPr>
            <w:r w:rsidRPr="004514EC">
              <w:rPr>
                <w:bCs/>
                <w:color w:val="000000" w:themeColor="text1"/>
                <w:sz w:val="18"/>
                <w:szCs w:val="18"/>
              </w:rPr>
              <w:t>under 10 000</w:t>
            </w:r>
          </w:p>
        </w:tc>
      </w:tr>
      <w:tr w:rsidR="00580C77" w:rsidRPr="00753442" w14:paraId="16843294" w14:textId="104BE87B" w:rsidTr="00356DFF">
        <w:trPr>
          <w:trHeight w:val="245"/>
        </w:trPr>
        <w:tc>
          <w:tcPr>
            <w:tcW w:w="896" w:type="pct"/>
            <w:noWrap/>
            <w:vAlign w:val="center"/>
          </w:tcPr>
          <w:p w14:paraId="5C4CF729" w14:textId="21BD8C93" w:rsidR="00580C77" w:rsidRPr="004514EC" w:rsidRDefault="00580C77" w:rsidP="00580C77">
            <w:pPr>
              <w:jc w:val="left"/>
              <w:rPr>
                <w:b/>
                <w:bCs/>
                <w:color w:val="000000" w:themeColor="text1"/>
                <w:sz w:val="18"/>
                <w:szCs w:val="18"/>
              </w:rPr>
            </w:pPr>
            <w:r w:rsidRPr="004514EC">
              <w:rPr>
                <w:b/>
                <w:bCs/>
                <w:color w:val="000000" w:themeColor="text1"/>
                <w:sz w:val="18"/>
                <w:szCs w:val="18"/>
              </w:rPr>
              <w:t>Total</w:t>
            </w:r>
          </w:p>
        </w:tc>
        <w:tc>
          <w:tcPr>
            <w:tcW w:w="556" w:type="pct"/>
          </w:tcPr>
          <w:p w14:paraId="3C69F0B4" w14:textId="77777777" w:rsidR="00580C77" w:rsidRPr="004514EC" w:rsidRDefault="00580C77" w:rsidP="00580C77">
            <w:pPr>
              <w:rPr>
                <w:b/>
                <w:bCs/>
                <w:color w:val="000000" w:themeColor="text1"/>
                <w:sz w:val="18"/>
                <w:szCs w:val="18"/>
              </w:rPr>
            </w:pPr>
          </w:p>
        </w:tc>
        <w:tc>
          <w:tcPr>
            <w:tcW w:w="473" w:type="pct"/>
            <w:vAlign w:val="center"/>
          </w:tcPr>
          <w:p w14:paraId="0FB2C1FB" w14:textId="39730040" w:rsidR="00580C77" w:rsidRPr="004514EC" w:rsidRDefault="00580C77" w:rsidP="00580C77">
            <w:pPr>
              <w:jc w:val="center"/>
              <w:rPr>
                <w:bCs/>
                <w:color w:val="000000" w:themeColor="text1"/>
                <w:sz w:val="18"/>
                <w:szCs w:val="18"/>
              </w:rPr>
            </w:pPr>
            <w:r w:rsidRPr="004514EC">
              <w:rPr>
                <w:bCs/>
                <w:color w:val="000000" w:themeColor="text1"/>
                <w:sz w:val="18"/>
                <w:szCs w:val="18"/>
              </w:rPr>
              <w:t>382</w:t>
            </w:r>
          </w:p>
        </w:tc>
        <w:tc>
          <w:tcPr>
            <w:tcW w:w="473" w:type="pct"/>
            <w:vAlign w:val="center"/>
          </w:tcPr>
          <w:p w14:paraId="57C864BE" w14:textId="0BDD76DD" w:rsidR="00580C77" w:rsidRPr="004514EC" w:rsidRDefault="00580C77" w:rsidP="00580C77">
            <w:pPr>
              <w:jc w:val="center"/>
              <w:rPr>
                <w:bCs/>
                <w:color w:val="000000" w:themeColor="text1"/>
                <w:sz w:val="18"/>
                <w:szCs w:val="18"/>
              </w:rPr>
            </w:pPr>
            <w:r w:rsidRPr="004514EC">
              <w:rPr>
                <w:bCs/>
                <w:color w:val="000000" w:themeColor="text1"/>
                <w:sz w:val="18"/>
                <w:szCs w:val="18"/>
              </w:rPr>
              <w:t>386</w:t>
            </w:r>
          </w:p>
        </w:tc>
        <w:tc>
          <w:tcPr>
            <w:tcW w:w="594" w:type="pct"/>
            <w:vAlign w:val="center"/>
          </w:tcPr>
          <w:p w14:paraId="3DCDAD75" w14:textId="4A25A712" w:rsidR="00580C77" w:rsidRPr="004514EC" w:rsidRDefault="00580C77" w:rsidP="00580C77">
            <w:pPr>
              <w:jc w:val="center"/>
              <w:rPr>
                <w:bCs/>
                <w:color w:val="000000" w:themeColor="text1"/>
                <w:sz w:val="18"/>
                <w:szCs w:val="18"/>
              </w:rPr>
            </w:pPr>
            <w:r w:rsidRPr="004514EC">
              <w:rPr>
                <w:bCs/>
                <w:color w:val="000000" w:themeColor="text1"/>
                <w:sz w:val="18"/>
                <w:szCs w:val="18"/>
              </w:rPr>
              <w:t>768</w:t>
            </w:r>
          </w:p>
        </w:tc>
        <w:tc>
          <w:tcPr>
            <w:tcW w:w="1004" w:type="pct"/>
            <w:vAlign w:val="center"/>
          </w:tcPr>
          <w:p w14:paraId="1F573C49" w14:textId="4F4F4465" w:rsidR="00580C77" w:rsidRPr="00B76951" w:rsidRDefault="00C4155A" w:rsidP="00580C77">
            <w:pPr>
              <w:jc w:val="center"/>
              <w:rPr>
                <w:bCs/>
                <w:color w:val="000000" w:themeColor="text1"/>
                <w:sz w:val="18"/>
                <w:szCs w:val="18"/>
              </w:rPr>
            </w:pPr>
            <w:r w:rsidRPr="00B76951">
              <w:rPr>
                <w:bCs/>
                <w:color w:val="000000" w:themeColor="text1"/>
                <w:sz w:val="18"/>
                <w:szCs w:val="18"/>
              </w:rPr>
              <w:t>77</w:t>
            </w:r>
          </w:p>
        </w:tc>
        <w:tc>
          <w:tcPr>
            <w:tcW w:w="1004" w:type="pct"/>
            <w:vAlign w:val="center"/>
          </w:tcPr>
          <w:p w14:paraId="5D2C9124" w14:textId="77777777" w:rsidR="00580C77" w:rsidRPr="004514EC" w:rsidRDefault="00580C77" w:rsidP="00580C77">
            <w:pPr>
              <w:jc w:val="center"/>
              <w:rPr>
                <w:b/>
                <w:bCs/>
                <w:color w:val="000000" w:themeColor="text1"/>
                <w:sz w:val="18"/>
                <w:szCs w:val="18"/>
              </w:rPr>
            </w:pPr>
          </w:p>
        </w:tc>
      </w:tr>
      <w:tr w:rsidR="00580C77" w:rsidRPr="00753442" w14:paraId="6336E726" w14:textId="77777777" w:rsidTr="004514EC">
        <w:trPr>
          <w:trHeight w:val="300"/>
        </w:trPr>
        <w:tc>
          <w:tcPr>
            <w:tcW w:w="5000" w:type="pct"/>
            <w:gridSpan w:val="7"/>
            <w:noWrap/>
          </w:tcPr>
          <w:p w14:paraId="40825656" w14:textId="51B3AEC5" w:rsidR="00580C77" w:rsidRPr="004514EC" w:rsidRDefault="00580C77" w:rsidP="00580C77">
            <w:pPr>
              <w:rPr>
                <w:bCs/>
                <w:i/>
                <w:color w:val="000000" w:themeColor="text1"/>
                <w:sz w:val="18"/>
                <w:szCs w:val="18"/>
              </w:rPr>
            </w:pPr>
            <w:r w:rsidRPr="004514EC">
              <w:rPr>
                <w:bCs/>
                <w:i/>
                <w:color w:val="000000" w:themeColor="text1"/>
                <w:sz w:val="18"/>
                <w:szCs w:val="18"/>
              </w:rPr>
              <w:t xml:space="preserve">* Markets are fully or partially situated in hard-to-reach districts </w:t>
            </w:r>
          </w:p>
        </w:tc>
      </w:tr>
    </w:tbl>
    <w:p w14:paraId="2984C4D3" w14:textId="5175567A" w:rsidR="004856E2" w:rsidRPr="00355095" w:rsidRDefault="004856E2" w:rsidP="00F33D3C">
      <w:pPr>
        <w:rPr>
          <w:sz w:val="10"/>
        </w:rPr>
      </w:pPr>
    </w:p>
    <w:p w14:paraId="1D835CB7" w14:textId="77777777" w:rsidR="00355095" w:rsidRPr="00F33D3C" w:rsidRDefault="00355095" w:rsidP="00F33D3C"/>
    <w:p w14:paraId="69092483" w14:textId="005A2794" w:rsidR="005D7ECF" w:rsidRDefault="005D7ECF" w:rsidP="004747CD">
      <w:pPr>
        <w:pStyle w:val="Heading1"/>
      </w:pPr>
      <w:bookmarkStart w:id="10" w:name="_Toc523407955"/>
      <w:r>
        <w:t>FINDINGS</w:t>
      </w:r>
      <w:bookmarkEnd w:id="10"/>
    </w:p>
    <w:p w14:paraId="1ECAAD07" w14:textId="77777777" w:rsidR="00533E55" w:rsidRDefault="00533E55" w:rsidP="009C6EAC"/>
    <w:p w14:paraId="605CAD8C" w14:textId="0501E7AD" w:rsidR="004D1134" w:rsidRDefault="004D1134" w:rsidP="004D1134">
      <w:pPr>
        <w:pStyle w:val="Heading2"/>
      </w:pPr>
      <w:bookmarkStart w:id="11" w:name="_Toc523407956"/>
      <w:r>
        <w:t>Demographics</w:t>
      </w:r>
      <w:bookmarkEnd w:id="11"/>
    </w:p>
    <w:p w14:paraId="5E7AC30D" w14:textId="77777777" w:rsidR="00725708" w:rsidRDefault="00725708" w:rsidP="009C6EAC"/>
    <w:p w14:paraId="2699B8D8" w14:textId="1B39C690" w:rsidR="007E5F2A" w:rsidRDefault="00D35ACC" w:rsidP="00CA1300">
      <w:pPr>
        <w:autoSpaceDE w:val="0"/>
        <w:autoSpaceDN w:val="0"/>
        <w:adjustRightInd w:val="0"/>
      </w:pPr>
      <w:r w:rsidRPr="00D35ACC">
        <w:t xml:space="preserve">Afghanistan's population </w:t>
      </w:r>
      <w:r w:rsidR="00093BD4">
        <w:t xml:space="preserve">in 2018 </w:t>
      </w:r>
      <w:r w:rsidRPr="00D35ACC">
        <w:t xml:space="preserve">is estimated </w:t>
      </w:r>
      <w:r w:rsidR="00C51D6A">
        <w:t>at</w:t>
      </w:r>
      <w:r w:rsidR="00093BD4">
        <w:t xml:space="preserve"> </w:t>
      </w:r>
      <w:r w:rsidRPr="00D35ACC">
        <w:t xml:space="preserve">36.37 </w:t>
      </w:r>
      <w:r w:rsidR="00DF38A2" w:rsidRPr="00D35ACC">
        <w:t>millio</w:t>
      </w:r>
      <w:r w:rsidR="00DF38A2">
        <w:t>n. I</w:t>
      </w:r>
      <w:r w:rsidR="006B642B">
        <w:t xml:space="preserve">t is </w:t>
      </w:r>
      <w:r w:rsidRPr="00D35ACC">
        <w:t xml:space="preserve">unclear how accurate these estimates may be, </w:t>
      </w:r>
      <w:r w:rsidR="006F5078">
        <w:t>given that the last census took place nearly 40 years ago and only covered 67% of the districts in the country</w:t>
      </w:r>
      <w:r>
        <w:rPr>
          <w:rStyle w:val="FootnoteReference"/>
        </w:rPr>
        <w:footnoteReference w:id="16"/>
      </w:r>
      <w:r w:rsidR="00DF38A2">
        <w:t xml:space="preserve">. </w:t>
      </w:r>
      <w:r w:rsidR="00D00D4F">
        <w:t>Large displacements are f</w:t>
      </w:r>
      <w:r w:rsidR="00C51D6A">
        <w:t xml:space="preserve">urther complicating the picture </w:t>
      </w:r>
      <w:r w:rsidR="00D00D4F">
        <w:t xml:space="preserve">as they </w:t>
      </w:r>
      <w:r w:rsidR="00C51D6A">
        <w:t xml:space="preserve">are </w:t>
      </w:r>
      <w:r w:rsidR="00DF38A2">
        <w:t>chang</w:t>
      </w:r>
      <w:r w:rsidR="00C51D6A">
        <w:t xml:space="preserve">ing </w:t>
      </w:r>
      <w:r w:rsidR="00DF38A2">
        <w:t>the demographic landscape very fast (</w:t>
      </w:r>
      <w:r w:rsidR="004A26FF">
        <w:t xml:space="preserve">that includes </w:t>
      </w:r>
      <w:r w:rsidR="004D1134" w:rsidRPr="004D1134">
        <w:t xml:space="preserve">nearly </w:t>
      </w:r>
      <w:r w:rsidR="004D1134">
        <w:t>half a million</w:t>
      </w:r>
      <w:r w:rsidR="004D1134" w:rsidRPr="004D1134">
        <w:t xml:space="preserve"> refugees return</w:t>
      </w:r>
      <w:r w:rsidR="00A10907">
        <w:t>ing</w:t>
      </w:r>
      <w:r w:rsidR="00DF38A2">
        <w:t xml:space="preserve"> </w:t>
      </w:r>
      <w:r w:rsidR="004D1134">
        <w:t xml:space="preserve">from Pakistan </w:t>
      </w:r>
      <w:r w:rsidR="00DF38A2">
        <w:t>to eastern regions since</w:t>
      </w:r>
      <w:r w:rsidR="00FC036D">
        <w:t xml:space="preserve"> 2016</w:t>
      </w:r>
      <w:r w:rsidR="004D1134">
        <w:t>)</w:t>
      </w:r>
      <w:r w:rsidR="00DF38A2" w:rsidRPr="00DF38A2">
        <w:rPr>
          <w:rStyle w:val="FootnoteReference"/>
        </w:rPr>
        <w:t xml:space="preserve"> </w:t>
      </w:r>
      <w:r w:rsidR="00DF38A2">
        <w:rPr>
          <w:rStyle w:val="FootnoteReference"/>
        </w:rPr>
        <w:footnoteReference w:id="17"/>
      </w:r>
      <w:r w:rsidR="004D1134">
        <w:t xml:space="preserve">. </w:t>
      </w:r>
      <w:r w:rsidR="00DF38A2">
        <w:t xml:space="preserve">For the markets under analysis in this assessment the population figures, whenever possible, were derived from </w:t>
      </w:r>
      <w:r w:rsidR="008B0F4B">
        <w:t xml:space="preserve">figures provided by </w:t>
      </w:r>
      <w:r w:rsidR="00E83808">
        <w:t>Central Statistics Organization.</w:t>
      </w:r>
      <w:r w:rsidR="00DF38A2">
        <w:t xml:space="preserve"> This data shows a </w:t>
      </w:r>
      <w:r w:rsidR="008B0F4B">
        <w:t xml:space="preserve">predominance of </w:t>
      </w:r>
      <w:r w:rsidR="00DF38A2">
        <w:t>r</w:t>
      </w:r>
      <w:r w:rsidR="008B0F4B">
        <w:t>ural population in all districts except for Jalalabad</w:t>
      </w:r>
      <w:r w:rsidR="00D143A3">
        <w:rPr>
          <w:rStyle w:val="FootnoteReference"/>
        </w:rPr>
        <w:footnoteReference w:id="18"/>
      </w:r>
      <w:r w:rsidR="00DF38A2">
        <w:t>.</w:t>
      </w:r>
      <w:r w:rsidR="00D143A3">
        <w:t xml:space="preserve"> </w:t>
      </w:r>
    </w:p>
    <w:p w14:paraId="7254F841" w14:textId="77777777" w:rsidR="007E5F2A" w:rsidRDefault="007E5F2A" w:rsidP="00CA1300">
      <w:pPr>
        <w:autoSpaceDE w:val="0"/>
        <w:autoSpaceDN w:val="0"/>
        <w:adjustRightInd w:val="0"/>
      </w:pPr>
    </w:p>
    <w:p w14:paraId="5B75A1D0" w14:textId="7019C712" w:rsidR="008E0221" w:rsidRDefault="009515EA" w:rsidP="00CA1300">
      <w:pPr>
        <w:autoSpaceDE w:val="0"/>
        <w:autoSpaceDN w:val="0"/>
        <w:adjustRightInd w:val="0"/>
      </w:pPr>
      <w:r>
        <w:t>With a fertility rate at 5.3 per woman,</w:t>
      </w:r>
      <w:r w:rsidR="00CA1300">
        <w:t xml:space="preserve"> Afghanistan has one of the world’s fastest population growth rates at 2.8%</w:t>
      </w:r>
      <w:r w:rsidR="0061267B">
        <w:t xml:space="preserve"> yearly.</w:t>
      </w:r>
      <w:r w:rsidR="00CA1300">
        <w:t xml:space="preserve"> </w:t>
      </w:r>
      <w:r w:rsidR="007E5F2A">
        <w:t xml:space="preserve"> </w:t>
      </w:r>
      <w:r w:rsidR="00CA1300">
        <w:t>Afghanistan is also</w:t>
      </w:r>
      <w:r>
        <w:t xml:space="preserve"> one of the youngest countries in the world, </w:t>
      </w:r>
      <w:r w:rsidR="00CA1300">
        <w:t xml:space="preserve">with </w:t>
      </w:r>
      <w:r>
        <w:t>63% of the popul</w:t>
      </w:r>
      <w:r w:rsidR="00CA1300">
        <w:t>ation below the age of 24. This creates a very high dependency ratio: “for every 100 persons in the working age 15-64 years, there are 104 persons in the less productive ages of under-fifteen and 65 and over</w:t>
      </w:r>
      <w:r w:rsidR="00B10343">
        <w:t>.</w:t>
      </w:r>
      <w:r w:rsidR="00CA1300">
        <w:t>”</w:t>
      </w:r>
      <w:r w:rsidR="0061267B">
        <w:rPr>
          <w:rStyle w:val="FootnoteReference"/>
        </w:rPr>
        <w:footnoteReference w:id="19"/>
      </w:r>
      <w:r w:rsidR="00CA1300">
        <w:t xml:space="preserve"> This </w:t>
      </w:r>
      <w:r w:rsidR="0061267B">
        <w:t>represents</w:t>
      </w:r>
      <w:r w:rsidR="00CA1300">
        <w:t xml:space="preserve"> a very heavy burden for the working population especially considering high unemployment and that women are largely excluded from the labour market.</w:t>
      </w:r>
    </w:p>
    <w:p w14:paraId="574EE712" w14:textId="77777777" w:rsidR="00DE174B" w:rsidRDefault="00DE174B" w:rsidP="00CA1300">
      <w:pPr>
        <w:autoSpaceDE w:val="0"/>
        <w:autoSpaceDN w:val="0"/>
        <w:adjustRightInd w:val="0"/>
      </w:pPr>
    </w:p>
    <w:p w14:paraId="090393EE" w14:textId="128335DE" w:rsidR="00DE174B" w:rsidRDefault="00DE174B" w:rsidP="00CA1300">
      <w:pPr>
        <w:autoSpaceDE w:val="0"/>
        <w:autoSpaceDN w:val="0"/>
        <w:adjustRightInd w:val="0"/>
      </w:pPr>
      <w:r>
        <w:t>The</w:t>
      </w:r>
      <w:r w:rsidR="0070176E">
        <w:t xml:space="preserve"> high economic dependency ratio</w:t>
      </w:r>
      <w:r w:rsidR="002913EB">
        <w:t>, added to cultural norms,</w:t>
      </w:r>
      <w:r>
        <w:t xml:space="preserve"> </w:t>
      </w:r>
      <w:r w:rsidR="002913EB">
        <w:t>contribute to</w:t>
      </w:r>
      <w:r w:rsidR="0061267B">
        <w:t xml:space="preserve"> high household numbers and a </w:t>
      </w:r>
      <w:r w:rsidR="002913EB">
        <w:t xml:space="preserve">very large number of multi-family households. </w:t>
      </w:r>
      <w:r w:rsidR="0063271E">
        <w:t>It is estimated that the country has about 3.6 million households with an average size of 7.4 persons per household</w:t>
      </w:r>
      <w:r w:rsidR="00C51D6A">
        <w:rPr>
          <w:rStyle w:val="FootnoteReference"/>
        </w:rPr>
        <w:footnoteReference w:id="20"/>
      </w:r>
      <w:r w:rsidR="0063271E">
        <w:t xml:space="preserve">. </w:t>
      </w:r>
      <w:r w:rsidR="00FA1CEB">
        <w:t>Extended family household may include up to four generations</w:t>
      </w:r>
      <w:r w:rsidR="0070176E">
        <w:t xml:space="preserve"> (typically </w:t>
      </w:r>
      <w:r w:rsidR="0070176E" w:rsidRPr="0070176E">
        <w:t>including the male head of family and his wife, his brothers, several sons and their families, unmarried and widowed women, and elderly grandparents</w:t>
      </w:r>
      <w:r w:rsidR="0070176E">
        <w:t>)</w:t>
      </w:r>
      <w:r w:rsidR="0061267B">
        <w:t xml:space="preserve">. Moreover, </w:t>
      </w:r>
      <w:r w:rsidR="00FA1CEB">
        <w:t>despite having fewer children under 15 years of age in urban households, urban and rural households are similar in size.</w:t>
      </w:r>
      <w:r w:rsidR="00FA1CEB">
        <w:rPr>
          <w:rStyle w:val="FootnoteReference"/>
        </w:rPr>
        <w:footnoteReference w:id="21"/>
      </w:r>
      <w:r w:rsidR="00FA1CEB">
        <w:t xml:space="preserve"> </w:t>
      </w:r>
    </w:p>
    <w:p w14:paraId="366E41AB" w14:textId="2FABBC8A" w:rsidR="007C22A6" w:rsidRDefault="00E83808" w:rsidP="00E83808">
      <w:pPr>
        <w:tabs>
          <w:tab w:val="left" w:pos="1740"/>
        </w:tabs>
        <w:autoSpaceDE w:val="0"/>
        <w:autoSpaceDN w:val="0"/>
        <w:adjustRightInd w:val="0"/>
      </w:pPr>
      <w:r>
        <w:tab/>
      </w:r>
    </w:p>
    <w:p w14:paraId="75E79B80" w14:textId="7DB14EAA" w:rsidR="003B0C51" w:rsidRDefault="007C22A6" w:rsidP="003B0C51">
      <w:r>
        <w:t xml:space="preserve">Afghanistan is undergoing rapid urbanization: according to estimates, </w:t>
      </w:r>
      <w:r w:rsidR="00E63C83">
        <w:t>A</w:t>
      </w:r>
      <w:r>
        <w:t>fghan cities are growing at a rate of 4% per year</w:t>
      </w:r>
      <w:r>
        <w:rPr>
          <w:rStyle w:val="FootnoteReference"/>
        </w:rPr>
        <w:footnoteReference w:id="22"/>
      </w:r>
      <w:r w:rsidR="00E63C83">
        <w:t>, and by 2060 half of the county’s population is expected to live in urban areas. This rapid urbanization creates pressure on the housing and rental market, which adds to the</w:t>
      </w:r>
      <w:r w:rsidR="005C3F17">
        <w:t xml:space="preserve"> demand by</w:t>
      </w:r>
      <w:r w:rsidR="00E63C83">
        <w:t xml:space="preserve"> internal displacement and return. Jalalabad</w:t>
      </w:r>
      <w:r w:rsidR="00C86EC3">
        <w:t>,</w:t>
      </w:r>
      <w:r w:rsidR="00E63C83">
        <w:t xml:space="preserve"> a regional hub and 5</w:t>
      </w:r>
      <w:r w:rsidR="00E63C83" w:rsidRPr="00E63C83">
        <w:rPr>
          <w:vertAlign w:val="superscript"/>
        </w:rPr>
        <w:t>th</w:t>
      </w:r>
      <w:r w:rsidR="00E63C83">
        <w:t xml:space="preserve"> largest city</w:t>
      </w:r>
      <w:r w:rsidR="00D10F7F">
        <w:t>,</w:t>
      </w:r>
      <w:r w:rsidR="00E63C83">
        <w:t xml:space="preserve"> is one of the centers of the urban</w:t>
      </w:r>
      <w:r w:rsidR="00D10F7F">
        <w:t xml:space="preserve">ization process, that affects </w:t>
      </w:r>
      <w:r w:rsidR="00A24338">
        <w:t>its core</w:t>
      </w:r>
      <w:r w:rsidR="00D10F7F">
        <w:t xml:space="preserve"> and surrounding areas.</w:t>
      </w:r>
      <w:r w:rsidR="00A24338">
        <w:t xml:space="preserve"> </w:t>
      </w:r>
      <w:r w:rsidR="00C86EC3" w:rsidRPr="000D5963">
        <w:t>According to IOM (2017</w:t>
      </w:r>
      <w:r w:rsidR="00C86EC3">
        <w:t>)</w:t>
      </w:r>
      <w:r w:rsidR="00C86EC3" w:rsidRPr="000D5963">
        <w:t>, 1 in 3 individuals in Nangarhar is either an IDP or Returnee.</w:t>
      </w:r>
      <w:r w:rsidR="00C86EC3">
        <w:t xml:space="preserve"> </w:t>
      </w:r>
      <w:r w:rsidR="0030485C">
        <w:t xml:space="preserve">The combined effects of urbanization, displacement and return on housing rental market Jalalabad city and its periphery are </w:t>
      </w:r>
      <w:r w:rsidR="00C86EC3">
        <w:t xml:space="preserve">at </w:t>
      </w:r>
      <w:r w:rsidR="0030485C">
        <w:t>the focus of this assessment.</w:t>
      </w:r>
      <w:r w:rsidR="00C51D6A">
        <w:t xml:space="preserve"> </w:t>
      </w:r>
    </w:p>
    <w:p w14:paraId="59BA8BCC" w14:textId="77777777" w:rsidR="00E04730" w:rsidRDefault="00E04730" w:rsidP="0070176E"/>
    <w:p w14:paraId="0DDA7D61" w14:textId="14D56619" w:rsidR="0070176E" w:rsidRDefault="003B0C51" w:rsidP="0070176E">
      <w:r>
        <w:t xml:space="preserve">Regarding the </w:t>
      </w:r>
      <w:r w:rsidR="0030485C">
        <w:t>d</w:t>
      </w:r>
      <w:r w:rsidR="005B5A39">
        <w:t>emographics of the households surveyed in the assessment</w:t>
      </w:r>
      <w:r>
        <w:t>, t</w:t>
      </w:r>
      <w:r w:rsidR="0070176E" w:rsidRPr="000D5963">
        <w:t xml:space="preserve">he average size </w:t>
      </w:r>
      <w:r w:rsidR="008E0221">
        <w:t>was</w:t>
      </w:r>
      <w:r w:rsidR="003A3D28">
        <w:t xml:space="preserve"> </w:t>
      </w:r>
      <w:r w:rsidR="00F01959">
        <w:t>11 people per household</w:t>
      </w:r>
      <w:r w:rsidR="008E0221">
        <w:t xml:space="preserve"> (4</w:t>
      </w:r>
      <w:r w:rsidR="00EC5E39">
        <w:t>9</w:t>
      </w:r>
      <w:r w:rsidR="008E0221">
        <w:t>% higher than the national average)</w:t>
      </w:r>
      <w:r w:rsidR="00F01959">
        <w:t xml:space="preserve">. </w:t>
      </w:r>
      <w:r w:rsidR="006E1B08">
        <w:t xml:space="preserve">Host community and returnee </w:t>
      </w:r>
      <w:r w:rsidR="00C86EC3">
        <w:t>HH</w:t>
      </w:r>
      <w:r w:rsidR="006E1B08">
        <w:t>s tend</w:t>
      </w:r>
      <w:r w:rsidR="008E0221">
        <w:t>ed</w:t>
      </w:r>
      <w:r w:rsidR="006E1B08">
        <w:t xml:space="preserve"> to be smaller</w:t>
      </w:r>
      <w:r w:rsidR="008E0221">
        <w:t xml:space="preserve"> than the </w:t>
      </w:r>
      <w:r w:rsidR="00862176">
        <w:t xml:space="preserve">survey </w:t>
      </w:r>
      <w:r w:rsidR="008E0221">
        <w:t>average</w:t>
      </w:r>
      <w:r w:rsidR="006E1B08">
        <w:t xml:space="preserve"> (10</w:t>
      </w:r>
      <w:r w:rsidR="00160617">
        <w:t>.</w:t>
      </w:r>
      <w:r w:rsidR="006E1B08">
        <w:t>7-10</w:t>
      </w:r>
      <w:r w:rsidR="00160617">
        <w:t>.</w:t>
      </w:r>
      <w:r w:rsidR="006E1B08">
        <w:t xml:space="preserve">8 people per household), while IDP households tended to be larger </w:t>
      </w:r>
      <w:r w:rsidR="000D19E4">
        <w:t>(11</w:t>
      </w:r>
      <w:r w:rsidR="00160617">
        <w:t>.</w:t>
      </w:r>
      <w:r w:rsidR="000D19E4">
        <w:t>7 people in a household)</w:t>
      </w:r>
      <w:r w:rsidR="0070176E" w:rsidRPr="000D5963">
        <w:t xml:space="preserve">. </w:t>
      </w:r>
    </w:p>
    <w:p w14:paraId="3454BCF1" w14:textId="31E12951" w:rsidR="00151F58" w:rsidRDefault="00151F58" w:rsidP="0070176E"/>
    <w:p w14:paraId="13824912" w14:textId="7141B280" w:rsidR="0038317D" w:rsidRDefault="006B2512" w:rsidP="00901E8D">
      <w:r>
        <w:t>Since w</w:t>
      </w:r>
      <w:r w:rsidR="00677F04">
        <w:t xml:space="preserve">ithin </w:t>
      </w:r>
      <w:r>
        <w:t xml:space="preserve">particular </w:t>
      </w:r>
      <w:r w:rsidR="008B4373">
        <w:t>communities (</w:t>
      </w:r>
      <w:r>
        <w:t xml:space="preserve">villages </w:t>
      </w:r>
      <w:r w:rsidR="008B4373">
        <w:t xml:space="preserve">or </w:t>
      </w:r>
      <w:r>
        <w:t>settlements) households</w:t>
      </w:r>
      <w:r w:rsidR="002D4C18">
        <w:t xml:space="preserve"> of every status had similar chance </w:t>
      </w:r>
      <w:r w:rsidR="006006B5">
        <w:t xml:space="preserve">of being </w:t>
      </w:r>
      <w:r w:rsidR="002D4C18">
        <w:t>surveyed, the results</w:t>
      </w:r>
      <w:r w:rsidR="006006B5">
        <w:t xml:space="preserve"> should be close to the </w:t>
      </w:r>
      <w:r w:rsidR="00CD3327">
        <w:t xml:space="preserve">actual </w:t>
      </w:r>
      <w:r w:rsidR="002D4C18">
        <w:t xml:space="preserve">proportion of households that are using the </w:t>
      </w:r>
      <w:r w:rsidR="006006B5">
        <w:t>market for rental housing</w:t>
      </w:r>
      <w:r w:rsidR="002D4C18">
        <w:t xml:space="preserve">. It is noticeable that members of the host community are the dominant </w:t>
      </w:r>
      <w:r w:rsidR="00C061E3">
        <w:t xml:space="preserve">consumers of rented accommodation in </w:t>
      </w:r>
      <w:r w:rsidR="00322696">
        <w:t xml:space="preserve">more urbanized </w:t>
      </w:r>
      <w:r>
        <w:t xml:space="preserve">and central </w:t>
      </w:r>
      <w:r w:rsidR="00322696">
        <w:t xml:space="preserve">districts (see </w:t>
      </w:r>
      <w:r w:rsidR="00322696">
        <w:fldChar w:fldCharType="begin"/>
      </w:r>
      <w:r w:rsidR="00322696">
        <w:instrText xml:space="preserve"> REF _Ref521854126 \h </w:instrText>
      </w:r>
      <w:r w:rsidR="00322696">
        <w:fldChar w:fldCharType="separate"/>
      </w:r>
      <w:r w:rsidR="009001C0" w:rsidRPr="00E17D1A">
        <w:t xml:space="preserve">Table </w:t>
      </w:r>
      <w:r w:rsidR="009001C0">
        <w:rPr>
          <w:noProof/>
        </w:rPr>
        <w:t>2</w:t>
      </w:r>
      <w:r w:rsidR="00322696">
        <w:fldChar w:fldCharType="end"/>
      </w:r>
      <w:r w:rsidR="00322696">
        <w:t>)</w:t>
      </w:r>
      <w:r w:rsidR="00C061E3">
        <w:t>: in Jalalabad district host community represents 6</w:t>
      </w:r>
      <w:r w:rsidR="009F1AFC">
        <w:t>3</w:t>
      </w:r>
      <w:r w:rsidR="00C061E3">
        <w:t xml:space="preserve">% of </w:t>
      </w:r>
      <w:r w:rsidR="00901E8D">
        <w:t>tenants</w:t>
      </w:r>
      <w:r w:rsidR="009F1AFC">
        <w:t xml:space="preserve">, </w:t>
      </w:r>
      <w:r w:rsidR="00901E8D">
        <w:t>followed closely by</w:t>
      </w:r>
      <w:r w:rsidR="009F1AFC">
        <w:t xml:space="preserve"> Surkhrod</w:t>
      </w:r>
      <w:r w:rsidR="00901E8D">
        <w:t xml:space="preserve"> (59%)</w:t>
      </w:r>
      <w:r w:rsidR="009F1AFC">
        <w:t>, where the bulk of population resides in suburban areas of Jalalabad</w:t>
      </w:r>
      <w:r w:rsidR="00901E8D">
        <w:t xml:space="preserve">. </w:t>
      </w:r>
      <w:r w:rsidR="008B4373">
        <w:t xml:space="preserve">Outside the Jalalabad urban area, however, </w:t>
      </w:r>
      <w:r w:rsidR="008B4373" w:rsidRPr="00E17D1A">
        <w:t>displaced households dominate the rental market</w:t>
      </w:r>
      <w:r w:rsidR="008B4373">
        <w:t>.</w:t>
      </w:r>
    </w:p>
    <w:p w14:paraId="4053F808" w14:textId="77777777" w:rsidR="0038317D" w:rsidRDefault="0038317D" w:rsidP="00901E8D"/>
    <w:p w14:paraId="4A63D27C" w14:textId="7CDC6ABD" w:rsidR="009F1AFC" w:rsidRDefault="009F1AFC" w:rsidP="00901E8D">
      <w:r>
        <w:t>Th</w:t>
      </w:r>
      <w:r w:rsidR="008B4373">
        <w:t xml:space="preserve">ese </w:t>
      </w:r>
      <w:r>
        <w:t>result</w:t>
      </w:r>
      <w:r w:rsidR="0038317D">
        <w:t>s suggest</w:t>
      </w:r>
      <w:r>
        <w:t xml:space="preserve"> that in urban areas</w:t>
      </w:r>
      <w:r w:rsidR="00322696">
        <w:t xml:space="preserve"> </w:t>
      </w:r>
      <w:r>
        <w:t xml:space="preserve">the market for rental accommodation </w:t>
      </w:r>
      <w:r w:rsidR="0038317D">
        <w:t xml:space="preserve">is </w:t>
      </w:r>
      <w:r>
        <w:t>cater</w:t>
      </w:r>
      <w:r w:rsidR="0038317D">
        <w:t>ing</w:t>
      </w:r>
      <w:r>
        <w:t xml:space="preserve"> to the </w:t>
      </w:r>
      <w:r w:rsidR="00677F04">
        <w:t xml:space="preserve">urbanizing </w:t>
      </w:r>
      <w:r>
        <w:t xml:space="preserve">households that </w:t>
      </w:r>
      <w:r w:rsidR="00322696">
        <w:t>move to the city from the countryside</w:t>
      </w:r>
      <w:r>
        <w:t xml:space="preserve">, </w:t>
      </w:r>
      <w:r w:rsidR="00A50190">
        <w:t xml:space="preserve">even above </w:t>
      </w:r>
      <w:r>
        <w:t xml:space="preserve">than </w:t>
      </w:r>
      <w:r w:rsidR="00901E8D">
        <w:t xml:space="preserve">to </w:t>
      </w:r>
      <w:r>
        <w:t>displaced (IDP and returnee) populations.</w:t>
      </w:r>
      <w:r w:rsidR="00677F04">
        <w:t xml:space="preserve"> This domination of the central urbanized areas by the host community may </w:t>
      </w:r>
      <w:r w:rsidR="0038317D">
        <w:t xml:space="preserve">therefore </w:t>
      </w:r>
      <w:r w:rsidR="00677F04">
        <w:t xml:space="preserve">signify that displaced households are excluded from </w:t>
      </w:r>
      <w:r w:rsidR="008B4373">
        <w:t xml:space="preserve">central </w:t>
      </w:r>
      <w:r w:rsidR="00677F04">
        <w:t xml:space="preserve">urban areas and are driven to the semi-urban and rural periphery. </w:t>
      </w:r>
    </w:p>
    <w:p w14:paraId="1D22F67F" w14:textId="6C888017" w:rsidR="00C061E3" w:rsidRDefault="00C061E3" w:rsidP="00725708"/>
    <w:p w14:paraId="77BB6313" w14:textId="6698CD17" w:rsidR="00C061E3" w:rsidRPr="00E17D1A" w:rsidRDefault="00C061E3" w:rsidP="00A50190">
      <w:pPr>
        <w:pStyle w:val="Caption"/>
        <w:keepNext/>
        <w:spacing w:before="120"/>
        <w:rPr>
          <w:color w:val="auto"/>
        </w:rPr>
      </w:pPr>
      <w:bookmarkStart w:id="12" w:name="_Ref521854126"/>
      <w:bookmarkStart w:id="13" w:name="_Ref521854099"/>
      <w:r w:rsidRPr="00E17D1A">
        <w:rPr>
          <w:color w:val="auto"/>
        </w:rPr>
        <w:t xml:space="preserve">Table </w:t>
      </w:r>
      <w:r w:rsidR="00A47312" w:rsidRPr="00E17D1A">
        <w:rPr>
          <w:noProof/>
          <w:color w:val="auto"/>
        </w:rPr>
        <w:fldChar w:fldCharType="begin"/>
      </w:r>
      <w:r w:rsidR="00A47312" w:rsidRPr="00E17D1A">
        <w:rPr>
          <w:noProof/>
          <w:color w:val="auto"/>
        </w:rPr>
        <w:instrText xml:space="preserve"> SEQ Table \* ARABIC </w:instrText>
      </w:r>
      <w:r w:rsidR="00A47312" w:rsidRPr="00E17D1A">
        <w:rPr>
          <w:noProof/>
          <w:color w:val="auto"/>
        </w:rPr>
        <w:fldChar w:fldCharType="separate"/>
      </w:r>
      <w:r w:rsidR="009001C0">
        <w:rPr>
          <w:noProof/>
          <w:color w:val="auto"/>
        </w:rPr>
        <w:t>2</w:t>
      </w:r>
      <w:r w:rsidR="00A47312" w:rsidRPr="00E17D1A">
        <w:rPr>
          <w:noProof/>
          <w:color w:val="auto"/>
        </w:rPr>
        <w:fldChar w:fldCharType="end"/>
      </w:r>
      <w:bookmarkEnd w:id="12"/>
      <w:r w:rsidRPr="00E17D1A">
        <w:rPr>
          <w:color w:val="auto"/>
        </w:rPr>
        <w:t xml:space="preserve"> </w:t>
      </w:r>
      <w:r w:rsidR="009F1AFC" w:rsidRPr="00E17D1A">
        <w:rPr>
          <w:color w:val="auto"/>
        </w:rPr>
        <w:t>Surveyed households by type and location</w:t>
      </w:r>
      <w:bookmarkEnd w:id="13"/>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3776"/>
        <w:gridCol w:w="1575"/>
        <w:gridCol w:w="1573"/>
        <w:gridCol w:w="1573"/>
        <w:gridCol w:w="1573"/>
      </w:tblGrid>
      <w:tr w:rsidR="001A4E25" w:rsidRPr="00E50F9E" w14:paraId="0E3BD33B" w14:textId="77777777" w:rsidTr="005C3F17">
        <w:trPr>
          <w:trHeight w:val="432"/>
        </w:trPr>
        <w:tc>
          <w:tcPr>
            <w:tcW w:w="1875" w:type="pct"/>
            <w:noWrap/>
            <w:vAlign w:val="center"/>
            <w:hideMark/>
          </w:tcPr>
          <w:p w14:paraId="4D2CF28C" w14:textId="5597E370" w:rsidR="001A4E25" w:rsidRPr="00753442" w:rsidRDefault="001A4E25" w:rsidP="005F59D6">
            <w:pPr>
              <w:jc w:val="left"/>
              <w:rPr>
                <w:b/>
                <w:bCs/>
                <w:sz w:val="18"/>
                <w:szCs w:val="18"/>
              </w:rPr>
            </w:pPr>
            <w:r w:rsidRPr="00753442">
              <w:rPr>
                <w:b/>
                <w:bCs/>
                <w:color w:val="000000"/>
                <w:sz w:val="18"/>
                <w:szCs w:val="18"/>
              </w:rPr>
              <w:t>Markets</w:t>
            </w:r>
          </w:p>
        </w:tc>
        <w:tc>
          <w:tcPr>
            <w:tcW w:w="782" w:type="pct"/>
            <w:noWrap/>
            <w:vAlign w:val="center"/>
            <w:hideMark/>
          </w:tcPr>
          <w:p w14:paraId="5061C19F" w14:textId="36BD1BD9" w:rsidR="001A4E25" w:rsidRPr="00753442" w:rsidRDefault="001A4E25" w:rsidP="005F59D6">
            <w:pPr>
              <w:jc w:val="center"/>
              <w:rPr>
                <w:b/>
                <w:bCs/>
                <w:sz w:val="18"/>
                <w:szCs w:val="18"/>
              </w:rPr>
            </w:pPr>
            <w:r w:rsidRPr="00753442">
              <w:rPr>
                <w:b/>
                <w:bCs/>
                <w:color w:val="000000"/>
                <w:sz w:val="18"/>
                <w:szCs w:val="18"/>
              </w:rPr>
              <w:t>Host community</w:t>
            </w:r>
          </w:p>
        </w:tc>
        <w:tc>
          <w:tcPr>
            <w:tcW w:w="781" w:type="pct"/>
            <w:noWrap/>
            <w:vAlign w:val="center"/>
            <w:hideMark/>
          </w:tcPr>
          <w:p w14:paraId="514DC5A8" w14:textId="0270205F" w:rsidR="001A4E25" w:rsidRPr="00753442" w:rsidRDefault="001A4E25" w:rsidP="005F59D6">
            <w:pPr>
              <w:jc w:val="center"/>
              <w:rPr>
                <w:b/>
                <w:bCs/>
                <w:sz w:val="18"/>
                <w:szCs w:val="18"/>
              </w:rPr>
            </w:pPr>
            <w:r w:rsidRPr="00753442">
              <w:rPr>
                <w:b/>
                <w:bCs/>
                <w:color w:val="000000"/>
                <w:sz w:val="18"/>
                <w:szCs w:val="18"/>
              </w:rPr>
              <w:t>IDP</w:t>
            </w:r>
          </w:p>
        </w:tc>
        <w:tc>
          <w:tcPr>
            <w:tcW w:w="781" w:type="pct"/>
            <w:vAlign w:val="center"/>
          </w:tcPr>
          <w:p w14:paraId="17198F63" w14:textId="4D4342CD" w:rsidR="001A4E25" w:rsidRPr="00753442" w:rsidRDefault="001A4E25" w:rsidP="005F59D6">
            <w:pPr>
              <w:jc w:val="center"/>
              <w:rPr>
                <w:b/>
                <w:bCs/>
                <w:color w:val="000000"/>
                <w:sz w:val="18"/>
                <w:szCs w:val="18"/>
              </w:rPr>
            </w:pPr>
            <w:r w:rsidRPr="00753442">
              <w:rPr>
                <w:b/>
                <w:bCs/>
                <w:color w:val="000000"/>
                <w:sz w:val="18"/>
                <w:szCs w:val="18"/>
              </w:rPr>
              <w:t>returnees</w:t>
            </w:r>
          </w:p>
        </w:tc>
        <w:tc>
          <w:tcPr>
            <w:tcW w:w="781" w:type="pct"/>
            <w:vAlign w:val="center"/>
          </w:tcPr>
          <w:p w14:paraId="713D7439" w14:textId="144C8142" w:rsidR="001A4E25" w:rsidRPr="00753442" w:rsidRDefault="001A4E25" w:rsidP="005F59D6">
            <w:pPr>
              <w:jc w:val="center"/>
              <w:rPr>
                <w:b/>
                <w:bCs/>
                <w:color w:val="000000"/>
                <w:sz w:val="18"/>
                <w:szCs w:val="18"/>
              </w:rPr>
            </w:pPr>
            <w:r w:rsidRPr="00753442">
              <w:rPr>
                <w:b/>
                <w:bCs/>
                <w:color w:val="000000"/>
                <w:sz w:val="18"/>
                <w:szCs w:val="18"/>
              </w:rPr>
              <w:t>other</w:t>
            </w:r>
          </w:p>
        </w:tc>
      </w:tr>
      <w:tr w:rsidR="001A4E25" w:rsidRPr="00E50F9E" w14:paraId="44D8FA7E" w14:textId="77777777" w:rsidTr="005C3F17">
        <w:trPr>
          <w:trHeight w:val="245"/>
        </w:trPr>
        <w:tc>
          <w:tcPr>
            <w:tcW w:w="1875" w:type="pct"/>
            <w:noWrap/>
            <w:vAlign w:val="center"/>
            <w:hideMark/>
          </w:tcPr>
          <w:p w14:paraId="28232613" w14:textId="27271663" w:rsidR="001A4E25" w:rsidRPr="00753442" w:rsidRDefault="001A4E25" w:rsidP="005F59D6">
            <w:pPr>
              <w:jc w:val="left"/>
              <w:rPr>
                <w:b/>
                <w:bCs/>
                <w:i/>
                <w:sz w:val="18"/>
                <w:szCs w:val="18"/>
              </w:rPr>
            </w:pPr>
            <w:r w:rsidRPr="00753442">
              <w:rPr>
                <w:b/>
                <w:bCs/>
                <w:color w:val="000000"/>
                <w:sz w:val="18"/>
                <w:szCs w:val="18"/>
              </w:rPr>
              <w:t>JAA urban area</w:t>
            </w:r>
          </w:p>
        </w:tc>
        <w:tc>
          <w:tcPr>
            <w:tcW w:w="782" w:type="pct"/>
            <w:vAlign w:val="center"/>
            <w:hideMark/>
          </w:tcPr>
          <w:p w14:paraId="67785DBF" w14:textId="12D4ED01" w:rsidR="001A4E25" w:rsidRPr="00753442" w:rsidRDefault="001A4E25" w:rsidP="005F59D6">
            <w:pPr>
              <w:jc w:val="center"/>
              <w:rPr>
                <w:b/>
                <w:bCs/>
                <w:i/>
                <w:sz w:val="18"/>
                <w:szCs w:val="18"/>
              </w:rPr>
            </w:pPr>
            <w:r w:rsidRPr="00753442">
              <w:rPr>
                <w:b/>
                <w:bCs/>
                <w:color w:val="000000"/>
                <w:sz w:val="18"/>
                <w:szCs w:val="18"/>
              </w:rPr>
              <w:t>56.4%</w:t>
            </w:r>
          </w:p>
        </w:tc>
        <w:tc>
          <w:tcPr>
            <w:tcW w:w="781" w:type="pct"/>
            <w:vAlign w:val="center"/>
            <w:hideMark/>
          </w:tcPr>
          <w:p w14:paraId="0FB16718" w14:textId="25911B27" w:rsidR="001A4E25" w:rsidRPr="00753442" w:rsidRDefault="001A4E25" w:rsidP="005F59D6">
            <w:pPr>
              <w:jc w:val="center"/>
              <w:rPr>
                <w:b/>
                <w:bCs/>
                <w:i/>
                <w:sz w:val="18"/>
                <w:szCs w:val="18"/>
              </w:rPr>
            </w:pPr>
            <w:r w:rsidRPr="00753442">
              <w:rPr>
                <w:b/>
                <w:bCs/>
                <w:color w:val="000000"/>
                <w:sz w:val="18"/>
                <w:szCs w:val="18"/>
              </w:rPr>
              <w:t>15.9%</w:t>
            </w:r>
          </w:p>
        </w:tc>
        <w:tc>
          <w:tcPr>
            <w:tcW w:w="781" w:type="pct"/>
            <w:vAlign w:val="center"/>
          </w:tcPr>
          <w:p w14:paraId="3E663DB9" w14:textId="30E91D70" w:rsidR="001A4E25" w:rsidRPr="00753442" w:rsidRDefault="001A4E25" w:rsidP="005F59D6">
            <w:pPr>
              <w:jc w:val="center"/>
              <w:rPr>
                <w:b/>
                <w:bCs/>
                <w:color w:val="000000"/>
                <w:sz w:val="18"/>
                <w:szCs w:val="18"/>
              </w:rPr>
            </w:pPr>
            <w:r w:rsidRPr="00753442">
              <w:rPr>
                <w:b/>
                <w:bCs/>
                <w:color w:val="000000"/>
                <w:sz w:val="18"/>
                <w:szCs w:val="18"/>
              </w:rPr>
              <w:t>26.8%</w:t>
            </w:r>
          </w:p>
        </w:tc>
        <w:tc>
          <w:tcPr>
            <w:tcW w:w="781" w:type="pct"/>
            <w:vAlign w:val="center"/>
          </w:tcPr>
          <w:p w14:paraId="777CFCBC" w14:textId="0DFB7D1A" w:rsidR="001A4E25" w:rsidRPr="00753442" w:rsidRDefault="001A4E25" w:rsidP="005F59D6">
            <w:pPr>
              <w:jc w:val="center"/>
              <w:rPr>
                <w:b/>
                <w:bCs/>
                <w:color w:val="000000"/>
                <w:sz w:val="18"/>
                <w:szCs w:val="18"/>
              </w:rPr>
            </w:pPr>
            <w:r w:rsidRPr="00753442">
              <w:rPr>
                <w:b/>
                <w:bCs/>
                <w:color w:val="000000"/>
                <w:sz w:val="18"/>
                <w:szCs w:val="18"/>
              </w:rPr>
              <w:t>0.9%</w:t>
            </w:r>
          </w:p>
        </w:tc>
      </w:tr>
      <w:tr w:rsidR="001A4E25" w:rsidRPr="00E50F9E" w14:paraId="4216A023" w14:textId="77777777" w:rsidTr="005C3F17">
        <w:trPr>
          <w:trHeight w:val="245"/>
        </w:trPr>
        <w:tc>
          <w:tcPr>
            <w:tcW w:w="1875" w:type="pct"/>
            <w:noWrap/>
            <w:vAlign w:val="center"/>
            <w:hideMark/>
          </w:tcPr>
          <w:p w14:paraId="530E9F98" w14:textId="6EA7C534" w:rsidR="001A4E25" w:rsidRPr="00753442" w:rsidRDefault="001A4E25" w:rsidP="005F59D6">
            <w:pPr>
              <w:tabs>
                <w:tab w:val="left" w:pos="345"/>
              </w:tabs>
              <w:ind w:left="306"/>
              <w:jc w:val="left"/>
              <w:rPr>
                <w:i/>
                <w:sz w:val="18"/>
                <w:szCs w:val="18"/>
              </w:rPr>
            </w:pPr>
            <w:r w:rsidRPr="00753442">
              <w:rPr>
                <w:color w:val="000000"/>
                <w:sz w:val="18"/>
                <w:szCs w:val="18"/>
              </w:rPr>
              <w:t>Behsud</w:t>
            </w:r>
          </w:p>
        </w:tc>
        <w:tc>
          <w:tcPr>
            <w:tcW w:w="782" w:type="pct"/>
            <w:vAlign w:val="center"/>
            <w:hideMark/>
          </w:tcPr>
          <w:p w14:paraId="730D7E21" w14:textId="40D6B74C" w:rsidR="001A4E25" w:rsidRPr="00753442" w:rsidRDefault="001A4E25" w:rsidP="005F59D6">
            <w:pPr>
              <w:jc w:val="center"/>
              <w:rPr>
                <w:i/>
                <w:sz w:val="18"/>
                <w:szCs w:val="18"/>
              </w:rPr>
            </w:pPr>
            <w:r w:rsidRPr="00753442">
              <w:rPr>
                <w:color w:val="000000"/>
                <w:sz w:val="18"/>
                <w:szCs w:val="18"/>
              </w:rPr>
              <w:t>35.5%</w:t>
            </w:r>
          </w:p>
        </w:tc>
        <w:tc>
          <w:tcPr>
            <w:tcW w:w="781" w:type="pct"/>
            <w:vAlign w:val="center"/>
            <w:hideMark/>
          </w:tcPr>
          <w:p w14:paraId="67ACB81D" w14:textId="012C96A7" w:rsidR="001A4E25" w:rsidRPr="00753442" w:rsidRDefault="001A4E25" w:rsidP="005F59D6">
            <w:pPr>
              <w:jc w:val="center"/>
              <w:rPr>
                <w:i/>
                <w:sz w:val="18"/>
                <w:szCs w:val="18"/>
              </w:rPr>
            </w:pPr>
            <w:r w:rsidRPr="00753442">
              <w:rPr>
                <w:color w:val="000000"/>
                <w:sz w:val="18"/>
                <w:szCs w:val="18"/>
              </w:rPr>
              <w:t>19.8%</w:t>
            </w:r>
          </w:p>
        </w:tc>
        <w:tc>
          <w:tcPr>
            <w:tcW w:w="781" w:type="pct"/>
            <w:vAlign w:val="center"/>
          </w:tcPr>
          <w:p w14:paraId="78354953" w14:textId="7A1B0CCD" w:rsidR="001A4E25" w:rsidRPr="00753442" w:rsidRDefault="001A4E25" w:rsidP="005F59D6">
            <w:pPr>
              <w:jc w:val="center"/>
              <w:rPr>
                <w:color w:val="000000"/>
                <w:sz w:val="18"/>
                <w:szCs w:val="18"/>
              </w:rPr>
            </w:pPr>
            <w:r w:rsidRPr="00753442">
              <w:rPr>
                <w:color w:val="000000"/>
                <w:sz w:val="18"/>
                <w:szCs w:val="18"/>
              </w:rPr>
              <w:t>43.0%</w:t>
            </w:r>
          </w:p>
        </w:tc>
        <w:tc>
          <w:tcPr>
            <w:tcW w:w="781" w:type="pct"/>
            <w:vAlign w:val="center"/>
          </w:tcPr>
          <w:p w14:paraId="2F6F07F9" w14:textId="5276AA86" w:rsidR="001A4E25" w:rsidRPr="00753442" w:rsidRDefault="001A4E25" w:rsidP="005F59D6">
            <w:pPr>
              <w:jc w:val="center"/>
              <w:rPr>
                <w:color w:val="000000"/>
                <w:sz w:val="18"/>
                <w:szCs w:val="18"/>
              </w:rPr>
            </w:pPr>
            <w:r w:rsidRPr="00753442">
              <w:rPr>
                <w:color w:val="000000"/>
                <w:sz w:val="18"/>
                <w:szCs w:val="18"/>
              </w:rPr>
              <w:t>1.7%</w:t>
            </w:r>
          </w:p>
        </w:tc>
      </w:tr>
      <w:tr w:rsidR="001A4E25" w:rsidRPr="00E50F9E" w14:paraId="62DC6BAA" w14:textId="77777777" w:rsidTr="005C3F17">
        <w:trPr>
          <w:trHeight w:val="245"/>
        </w:trPr>
        <w:tc>
          <w:tcPr>
            <w:tcW w:w="1875" w:type="pct"/>
            <w:noWrap/>
            <w:vAlign w:val="center"/>
            <w:hideMark/>
          </w:tcPr>
          <w:p w14:paraId="790A2EBC" w14:textId="46CED752" w:rsidR="001A4E25" w:rsidRPr="00753442" w:rsidRDefault="001A4E25" w:rsidP="005F59D6">
            <w:pPr>
              <w:tabs>
                <w:tab w:val="left" w:pos="345"/>
              </w:tabs>
              <w:ind w:left="306"/>
              <w:jc w:val="left"/>
              <w:rPr>
                <w:i/>
                <w:sz w:val="18"/>
                <w:szCs w:val="18"/>
              </w:rPr>
            </w:pPr>
            <w:r w:rsidRPr="00753442">
              <w:rPr>
                <w:color w:val="000000"/>
                <w:sz w:val="18"/>
                <w:szCs w:val="18"/>
              </w:rPr>
              <w:t>Jalalabad</w:t>
            </w:r>
          </w:p>
        </w:tc>
        <w:tc>
          <w:tcPr>
            <w:tcW w:w="782" w:type="pct"/>
            <w:vAlign w:val="center"/>
            <w:hideMark/>
          </w:tcPr>
          <w:p w14:paraId="16AFE234" w14:textId="657D8DF1" w:rsidR="001A4E25" w:rsidRPr="00753442" w:rsidRDefault="001A4E25" w:rsidP="005F59D6">
            <w:pPr>
              <w:jc w:val="center"/>
              <w:rPr>
                <w:i/>
                <w:sz w:val="18"/>
                <w:szCs w:val="18"/>
              </w:rPr>
            </w:pPr>
            <w:r w:rsidRPr="00753442">
              <w:rPr>
                <w:color w:val="000000"/>
                <w:sz w:val="18"/>
                <w:szCs w:val="18"/>
              </w:rPr>
              <w:t>62.7%</w:t>
            </w:r>
          </w:p>
        </w:tc>
        <w:tc>
          <w:tcPr>
            <w:tcW w:w="781" w:type="pct"/>
            <w:vAlign w:val="center"/>
            <w:hideMark/>
          </w:tcPr>
          <w:p w14:paraId="74859AC3" w14:textId="571EFCC3" w:rsidR="001A4E25" w:rsidRPr="00753442" w:rsidRDefault="001A4E25" w:rsidP="005F59D6">
            <w:pPr>
              <w:jc w:val="center"/>
              <w:rPr>
                <w:i/>
                <w:sz w:val="18"/>
                <w:szCs w:val="18"/>
              </w:rPr>
            </w:pPr>
            <w:r w:rsidRPr="00753442">
              <w:rPr>
                <w:color w:val="000000"/>
                <w:sz w:val="18"/>
                <w:szCs w:val="18"/>
              </w:rPr>
              <w:t>16.7%</w:t>
            </w:r>
          </w:p>
        </w:tc>
        <w:tc>
          <w:tcPr>
            <w:tcW w:w="781" w:type="pct"/>
            <w:vAlign w:val="center"/>
          </w:tcPr>
          <w:p w14:paraId="699C76D6" w14:textId="7AC720BC" w:rsidR="001A4E25" w:rsidRPr="00753442" w:rsidRDefault="001A4E25" w:rsidP="005F59D6">
            <w:pPr>
              <w:jc w:val="center"/>
              <w:rPr>
                <w:color w:val="000000"/>
                <w:sz w:val="18"/>
                <w:szCs w:val="18"/>
              </w:rPr>
            </w:pPr>
            <w:r w:rsidRPr="00753442">
              <w:rPr>
                <w:color w:val="000000"/>
                <w:sz w:val="18"/>
                <w:szCs w:val="18"/>
              </w:rPr>
              <w:t>20.7%</w:t>
            </w:r>
          </w:p>
        </w:tc>
        <w:tc>
          <w:tcPr>
            <w:tcW w:w="781" w:type="pct"/>
            <w:vAlign w:val="center"/>
          </w:tcPr>
          <w:p w14:paraId="5A27C158" w14:textId="0932BA57" w:rsidR="001A4E25" w:rsidRPr="00753442" w:rsidRDefault="001A4E25" w:rsidP="005F59D6">
            <w:pPr>
              <w:jc w:val="center"/>
              <w:rPr>
                <w:color w:val="000000"/>
                <w:sz w:val="18"/>
                <w:szCs w:val="18"/>
              </w:rPr>
            </w:pPr>
            <w:r w:rsidRPr="00753442">
              <w:rPr>
                <w:color w:val="000000"/>
                <w:sz w:val="18"/>
                <w:szCs w:val="18"/>
              </w:rPr>
              <w:t>0.0%</w:t>
            </w:r>
          </w:p>
        </w:tc>
      </w:tr>
      <w:tr w:rsidR="001A4E25" w:rsidRPr="00E50F9E" w14:paraId="37F473A2" w14:textId="77777777" w:rsidTr="005C3F17">
        <w:trPr>
          <w:trHeight w:val="245"/>
        </w:trPr>
        <w:tc>
          <w:tcPr>
            <w:tcW w:w="1875" w:type="pct"/>
            <w:noWrap/>
            <w:vAlign w:val="center"/>
            <w:hideMark/>
          </w:tcPr>
          <w:p w14:paraId="3D1B4508" w14:textId="09F69ADA" w:rsidR="001A4E25" w:rsidRPr="00753442" w:rsidRDefault="001A4E25" w:rsidP="005F59D6">
            <w:pPr>
              <w:tabs>
                <w:tab w:val="left" w:pos="345"/>
              </w:tabs>
              <w:ind w:left="306"/>
              <w:jc w:val="left"/>
              <w:rPr>
                <w:b/>
                <w:bCs/>
                <w:i/>
                <w:sz w:val="18"/>
                <w:szCs w:val="18"/>
              </w:rPr>
            </w:pPr>
            <w:r w:rsidRPr="00753442">
              <w:rPr>
                <w:color w:val="000000"/>
                <w:sz w:val="18"/>
                <w:szCs w:val="18"/>
              </w:rPr>
              <w:t>Surkhrod</w:t>
            </w:r>
          </w:p>
        </w:tc>
        <w:tc>
          <w:tcPr>
            <w:tcW w:w="782" w:type="pct"/>
            <w:vAlign w:val="center"/>
            <w:hideMark/>
          </w:tcPr>
          <w:p w14:paraId="5A340970" w14:textId="7D377B8D" w:rsidR="001A4E25" w:rsidRPr="00753442" w:rsidRDefault="001A4E25" w:rsidP="005F59D6">
            <w:pPr>
              <w:jc w:val="center"/>
              <w:rPr>
                <w:b/>
                <w:bCs/>
                <w:i/>
                <w:sz w:val="18"/>
                <w:szCs w:val="18"/>
              </w:rPr>
            </w:pPr>
            <w:r w:rsidRPr="00753442">
              <w:rPr>
                <w:color w:val="000000"/>
                <w:sz w:val="18"/>
                <w:szCs w:val="18"/>
              </w:rPr>
              <w:t>61.3%</w:t>
            </w:r>
          </w:p>
        </w:tc>
        <w:tc>
          <w:tcPr>
            <w:tcW w:w="781" w:type="pct"/>
            <w:vAlign w:val="center"/>
            <w:hideMark/>
          </w:tcPr>
          <w:p w14:paraId="195AFD1C" w14:textId="135D309F" w:rsidR="001A4E25" w:rsidRPr="00753442" w:rsidRDefault="001A4E25" w:rsidP="005F59D6">
            <w:pPr>
              <w:jc w:val="center"/>
              <w:rPr>
                <w:b/>
                <w:bCs/>
                <w:i/>
                <w:sz w:val="18"/>
                <w:szCs w:val="18"/>
              </w:rPr>
            </w:pPr>
            <w:r w:rsidRPr="00753442">
              <w:rPr>
                <w:color w:val="000000"/>
                <w:sz w:val="18"/>
                <w:szCs w:val="18"/>
              </w:rPr>
              <w:t>11.7%</w:t>
            </w:r>
          </w:p>
        </w:tc>
        <w:tc>
          <w:tcPr>
            <w:tcW w:w="781" w:type="pct"/>
            <w:vAlign w:val="center"/>
          </w:tcPr>
          <w:p w14:paraId="243806A6" w14:textId="443FCDB3" w:rsidR="001A4E25" w:rsidRPr="00753442" w:rsidRDefault="001A4E25" w:rsidP="005F59D6">
            <w:pPr>
              <w:jc w:val="center"/>
              <w:rPr>
                <w:color w:val="000000"/>
                <w:sz w:val="18"/>
                <w:szCs w:val="18"/>
              </w:rPr>
            </w:pPr>
            <w:r w:rsidRPr="00753442">
              <w:rPr>
                <w:color w:val="000000"/>
                <w:sz w:val="18"/>
                <w:szCs w:val="18"/>
              </w:rPr>
              <w:t>25.2%</w:t>
            </w:r>
          </w:p>
        </w:tc>
        <w:tc>
          <w:tcPr>
            <w:tcW w:w="781" w:type="pct"/>
            <w:vAlign w:val="center"/>
          </w:tcPr>
          <w:p w14:paraId="7708D28F" w14:textId="353685FA" w:rsidR="001A4E25" w:rsidRPr="00753442" w:rsidRDefault="001A4E25" w:rsidP="005F59D6">
            <w:pPr>
              <w:jc w:val="center"/>
              <w:rPr>
                <w:color w:val="000000"/>
                <w:sz w:val="18"/>
                <w:szCs w:val="18"/>
              </w:rPr>
            </w:pPr>
            <w:r w:rsidRPr="00753442">
              <w:rPr>
                <w:color w:val="000000"/>
                <w:sz w:val="18"/>
                <w:szCs w:val="18"/>
              </w:rPr>
              <w:t>1.8%</w:t>
            </w:r>
          </w:p>
        </w:tc>
      </w:tr>
      <w:tr w:rsidR="001A4E25" w:rsidRPr="00E50F9E" w14:paraId="074C9284" w14:textId="77777777" w:rsidTr="005C3F17">
        <w:trPr>
          <w:trHeight w:val="245"/>
        </w:trPr>
        <w:tc>
          <w:tcPr>
            <w:tcW w:w="1875" w:type="pct"/>
            <w:noWrap/>
            <w:vAlign w:val="center"/>
            <w:hideMark/>
          </w:tcPr>
          <w:p w14:paraId="3804EF2F" w14:textId="57CA19B4" w:rsidR="001A4E25" w:rsidRPr="00753442" w:rsidRDefault="001A4E25" w:rsidP="005F59D6">
            <w:pPr>
              <w:jc w:val="left"/>
              <w:rPr>
                <w:i/>
                <w:sz w:val="18"/>
                <w:szCs w:val="18"/>
              </w:rPr>
            </w:pPr>
            <w:r w:rsidRPr="00753442">
              <w:rPr>
                <w:b/>
                <w:bCs/>
                <w:color w:val="000000"/>
                <w:sz w:val="18"/>
                <w:szCs w:val="18"/>
              </w:rPr>
              <w:t>Chamtala</w:t>
            </w:r>
          </w:p>
        </w:tc>
        <w:tc>
          <w:tcPr>
            <w:tcW w:w="782" w:type="pct"/>
            <w:vAlign w:val="center"/>
            <w:hideMark/>
          </w:tcPr>
          <w:p w14:paraId="3058B60B" w14:textId="2EFB8353" w:rsidR="001A4E25" w:rsidRPr="00753442" w:rsidRDefault="001A4E25" w:rsidP="005F59D6">
            <w:pPr>
              <w:jc w:val="center"/>
              <w:rPr>
                <w:i/>
                <w:sz w:val="18"/>
                <w:szCs w:val="18"/>
              </w:rPr>
            </w:pPr>
            <w:r w:rsidRPr="00753442">
              <w:rPr>
                <w:b/>
                <w:bCs/>
                <w:color w:val="000000"/>
                <w:sz w:val="18"/>
                <w:szCs w:val="18"/>
              </w:rPr>
              <w:t>39.2%</w:t>
            </w:r>
          </w:p>
        </w:tc>
        <w:tc>
          <w:tcPr>
            <w:tcW w:w="781" w:type="pct"/>
            <w:vAlign w:val="center"/>
            <w:hideMark/>
          </w:tcPr>
          <w:p w14:paraId="564C80E9" w14:textId="042FC489" w:rsidR="001A4E25" w:rsidRPr="00753442" w:rsidRDefault="001A4E25" w:rsidP="005F59D6">
            <w:pPr>
              <w:jc w:val="center"/>
              <w:rPr>
                <w:i/>
                <w:sz w:val="18"/>
                <w:szCs w:val="18"/>
              </w:rPr>
            </w:pPr>
            <w:r w:rsidRPr="00753442">
              <w:rPr>
                <w:b/>
                <w:bCs/>
                <w:color w:val="000000"/>
                <w:sz w:val="18"/>
                <w:szCs w:val="18"/>
              </w:rPr>
              <w:t>49.0%</w:t>
            </w:r>
          </w:p>
        </w:tc>
        <w:tc>
          <w:tcPr>
            <w:tcW w:w="781" w:type="pct"/>
            <w:vAlign w:val="center"/>
          </w:tcPr>
          <w:p w14:paraId="5438AE5E" w14:textId="5EC31A2D" w:rsidR="001A4E25" w:rsidRPr="00753442" w:rsidRDefault="001A4E25" w:rsidP="005F59D6">
            <w:pPr>
              <w:jc w:val="center"/>
              <w:rPr>
                <w:b/>
                <w:bCs/>
                <w:color w:val="000000"/>
                <w:sz w:val="18"/>
                <w:szCs w:val="18"/>
              </w:rPr>
            </w:pPr>
            <w:r w:rsidRPr="00753442">
              <w:rPr>
                <w:b/>
                <w:bCs/>
                <w:color w:val="000000"/>
                <w:sz w:val="18"/>
                <w:szCs w:val="18"/>
              </w:rPr>
              <w:t>11.8%</w:t>
            </w:r>
          </w:p>
        </w:tc>
        <w:tc>
          <w:tcPr>
            <w:tcW w:w="781" w:type="pct"/>
            <w:vAlign w:val="center"/>
          </w:tcPr>
          <w:p w14:paraId="3B0794AB" w14:textId="372A239F" w:rsidR="001A4E25" w:rsidRPr="00753442" w:rsidRDefault="001A4E25" w:rsidP="005F59D6">
            <w:pPr>
              <w:jc w:val="center"/>
              <w:rPr>
                <w:b/>
                <w:bCs/>
                <w:color w:val="000000"/>
                <w:sz w:val="18"/>
                <w:szCs w:val="18"/>
              </w:rPr>
            </w:pPr>
            <w:r w:rsidRPr="00753442">
              <w:rPr>
                <w:b/>
                <w:bCs/>
                <w:color w:val="000000"/>
                <w:sz w:val="18"/>
                <w:szCs w:val="18"/>
              </w:rPr>
              <w:t>0.0%</w:t>
            </w:r>
          </w:p>
        </w:tc>
      </w:tr>
      <w:tr w:rsidR="001A4E25" w:rsidRPr="00E50F9E" w14:paraId="63094293" w14:textId="77777777" w:rsidTr="005C3F17">
        <w:trPr>
          <w:trHeight w:val="245"/>
        </w:trPr>
        <w:tc>
          <w:tcPr>
            <w:tcW w:w="1875" w:type="pct"/>
            <w:noWrap/>
            <w:vAlign w:val="center"/>
            <w:hideMark/>
          </w:tcPr>
          <w:p w14:paraId="6F292A86" w14:textId="2618D63D" w:rsidR="001A4E25" w:rsidRPr="00753442" w:rsidRDefault="001A4E25" w:rsidP="005F59D6">
            <w:pPr>
              <w:jc w:val="left"/>
              <w:rPr>
                <w:sz w:val="18"/>
                <w:szCs w:val="18"/>
              </w:rPr>
            </w:pPr>
            <w:r w:rsidRPr="00753442">
              <w:rPr>
                <w:b/>
                <w:bCs/>
                <w:color w:val="000000"/>
                <w:sz w:val="18"/>
                <w:szCs w:val="18"/>
              </w:rPr>
              <w:t>Kabul camp</w:t>
            </w:r>
          </w:p>
        </w:tc>
        <w:tc>
          <w:tcPr>
            <w:tcW w:w="782" w:type="pct"/>
            <w:vAlign w:val="center"/>
            <w:hideMark/>
          </w:tcPr>
          <w:p w14:paraId="195157EF" w14:textId="1AD8303E" w:rsidR="001A4E25" w:rsidRPr="00753442" w:rsidRDefault="001A4E25" w:rsidP="005F59D6">
            <w:pPr>
              <w:jc w:val="center"/>
              <w:rPr>
                <w:sz w:val="18"/>
                <w:szCs w:val="18"/>
              </w:rPr>
            </w:pPr>
            <w:r w:rsidRPr="00753442">
              <w:rPr>
                <w:b/>
                <w:bCs/>
                <w:color w:val="000000"/>
                <w:sz w:val="18"/>
                <w:szCs w:val="18"/>
              </w:rPr>
              <w:t>35.8%</w:t>
            </w:r>
          </w:p>
        </w:tc>
        <w:tc>
          <w:tcPr>
            <w:tcW w:w="781" w:type="pct"/>
            <w:vAlign w:val="center"/>
            <w:hideMark/>
          </w:tcPr>
          <w:p w14:paraId="60A72C09" w14:textId="34DD6852" w:rsidR="001A4E25" w:rsidRPr="00753442" w:rsidRDefault="001A4E25" w:rsidP="005F59D6">
            <w:pPr>
              <w:jc w:val="center"/>
              <w:rPr>
                <w:sz w:val="18"/>
                <w:szCs w:val="18"/>
              </w:rPr>
            </w:pPr>
            <w:r w:rsidRPr="00753442">
              <w:rPr>
                <w:b/>
                <w:bCs/>
                <w:color w:val="000000"/>
                <w:sz w:val="18"/>
                <w:szCs w:val="18"/>
              </w:rPr>
              <w:t>32.5%</w:t>
            </w:r>
          </w:p>
        </w:tc>
        <w:tc>
          <w:tcPr>
            <w:tcW w:w="781" w:type="pct"/>
            <w:vAlign w:val="center"/>
          </w:tcPr>
          <w:p w14:paraId="130DAC1B" w14:textId="33BBA73C" w:rsidR="001A4E25" w:rsidRPr="00753442" w:rsidRDefault="001A4E25" w:rsidP="005F59D6">
            <w:pPr>
              <w:jc w:val="center"/>
              <w:rPr>
                <w:b/>
                <w:bCs/>
                <w:color w:val="000000"/>
                <w:sz w:val="18"/>
                <w:szCs w:val="18"/>
              </w:rPr>
            </w:pPr>
            <w:r w:rsidRPr="00753442">
              <w:rPr>
                <w:b/>
                <w:bCs/>
                <w:color w:val="000000"/>
                <w:sz w:val="18"/>
                <w:szCs w:val="18"/>
              </w:rPr>
              <w:t>29.2%</w:t>
            </w:r>
          </w:p>
        </w:tc>
        <w:tc>
          <w:tcPr>
            <w:tcW w:w="781" w:type="pct"/>
            <w:vAlign w:val="center"/>
          </w:tcPr>
          <w:p w14:paraId="675F7848" w14:textId="6CA297A8" w:rsidR="001A4E25" w:rsidRPr="00753442" w:rsidRDefault="001A4E25" w:rsidP="005F59D6">
            <w:pPr>
              <w:jc w:val="center"/>
              <w:rPr>
                <w:color w:val="000000"/>
                <w:sz w:val="18"/>
                <w:szCs w:val="18"/>
              </w:rPr>
            </w:pPr>
            <w:r w:rsidRPr="00753442">
              <w:rPr>
                <w:b/>
                <w:bCs/>
                <w:color w:val="000000"/>
                <w:sz w:val="18"/>
                <w:szCs w:val="18"/>
              </w:rPr>
              <w:t>2.5%</w:t>
            </w:r>
          </w:p>
        </w:tc>
      </w:tr>
      <w:tr w:rsidR="00E45BBE" w:rsidRPr="00E50F9E" w14:paraId="13F0A36B" w14:textId="77777777" w:rsidTr="005C3F17">
        <w:trPr>
          <w:trHeight w:val="245"/>
        </w:trPr>
        <w:tc>
          <w:tcPr>
            <w:tcW w:w="1875" w:type="pct"/>
            <w:noWrap/>
          </w:tcPr>
          <w:p w14:paraId="705832E2" w14:textId="7B393163" w:rsidR="00E45BBE" w:rsidRPr="00753442" w:rsidRDefault="00E45BBE" w:rsidP="00E45BBE">
            <w:pPr>
              <w:jc w:val="left"/>
              <w:rPr>
                <w:b/>
                <w:bCs/>
                <w:color w:val="000000"/>
                <w:sz w:val="18"/>
                <w:szCs w:val="18"/>
              </w:rPr>
            </w:pPr>
            <w:r w:rsidRPr="00753442">
              <w:rPr>
                <w:b/>
                <w:bCs/>
                <w:sz w:val="18"/>
                <w:szCs w:val="18"/>
              </w:rPr>
              <w:t xml:space="preserve">Bar Shegi (Kunar) </w:t>
            </w:r>
          </w:p>
        </w:tc>
        <w:tc>
          <w:tcPr>
            <w:tcW w:w="782" w:type="pct"/>
            <w:vAlign w:val="center"/>
          </w:tcPr>
          <w:p w14:paraId="02A4EB03" w14:textId="66952D88" w:rsidR="00E45BBE" w:rsidRPr="00753442" w:rsidRDefault="00E45BBE" w:rsidP="00E45BBE">
            <w:pPr>
              <w:jc w:val="center"/>
              <w:rPr>
                <w:b/>
                <w:bCs/>
                <w:color w:val="000000"/>
                <w:sz w:val="18"/>
                <w:szCs w:val="18"/>
              </w:rPr>
            </w:pPr>
            <w:r w:rsidRPr="00753442">
              <w:rPr>
                <w:b/>
                <w:bCs/>
                <w:color w:val="000000"/>
                <w:sz w:val="18"/>
                <w:szCs w:val="18"/>
              </w:rPr>
              <w:t>25.0%</w:t>
            </w:r>
          </w:p>
        </w:tc>
        <w:tc>
          <w:tcPr>
            <w:tcW w:w="781" w:type="pct"/>
            <w:vAlign w:val="center"/>
          </w:tcPr>
          <w:p w14:paraId="0BD87C94" w14:textId="26D95453" w:rsidR="00E45BBE" w:rsidRPr="00753442" w:rsidRDefault="00E45BBE" w:rsidP="00E45BBE">
            <w:pPr>
              <w:jc w:val="center"/>
              <w:rPr>
                <w:b/>
                <w:bCs/>
                <w:color w:val="000000"/>
                <w:sz w:val="18"/>
                <w:szCs w:val="18"/>
              </w:rPr>
            </w:pPr>
            <w:r w:rsidRPr="00753442">
              <w:rPr>
                <w:b/>
                <w:bCs/>
                <w:color w:val="000000"/>
                <w:sz w:val="18"/>
                <w:szCs w:val="18"/>
              </w:rPr>
              <w:t>37.5%</w:t>
            </w:r>
          </w:p>
        </w:tc>
        <w:tc>
          <w:tcPr>
            <w:tcW w:w="781" w:type="pct"/>
            <w:vAlign w:val="center"/>
          </w:tcPr>
          <w:p w14:paraId="182FDB17" w14:textId="72A22D3F" w:rsidR="00E45BBE" w:rsidRPr="00753442" w:rsidRDefault="00E45BBE" w:rsidP="00E45BBE">
            <w:pPr>
              <w:jc w:val="center"/>
              <w:rPr>
                <w:b/>
                <w:bCs/>
                <w:color w:val="000000"/>
                <w:sz w:val="18"/>
                <w:szCs w:val="18"/>
              </w:rPr>
            </w:pPr>
            <w:r w:rsidRPr="00753442">
              <w:rPr>
                <w:b/>
                <w:bCs/>
                <w:color w:val="000000"/>
                <w:sz w:val="18"/>
                <w:szCs w:val="18"/>
              </w:rPr>
              <w:t>37.5%</w:t>
            </w:r>
          </w:p>
        </w:tc>
        <w:tc>
          <w:tcPr>
            <w:tcW w:w="781" w:type="pct"/>
            <w:vAlign w:val="center"/>
          </w:tcPr>
          <w:p w14:paraId="0B2FECDF" w14:textId="2D12B1A4" w:rsidR="00E45BBE" w:rsidRPr="00753442" w:rsidRDefault="00E45BBE" w:rsidP="00E45BBE">
            <w:pPr>
              <w:jc w:val="center"/>
              <w:rPr>
                <w:b/>
                <w:bCs/>
                <w:color w:val="000000"/>
                <w:sz w:val="18"/>
                <w:szCs w:val="18"/>
              </w:rPr>
            </w:pPr>
            <w:r w:rsidRPr="00753442">
              <w:rPr>
                <w:b/>
                <w:bCs/>
                <w:color w:val="000000"/>
                <w:sz w:val="18"/>
                <w:szCs w:val="18"/>
              </w:rPr>
              <w:t>0.0%</w:t>
            </w:r>
          </w:p>
        </w:tc>
      </w:tr>
      <w:tr w:rsidR="00E45BBE" w:rsidRPr="00E50F9E" w14:paraId="2B9089AF" w14:textId="77777777" w:rsidTr="005C3F17">
        <w:trPr>
          <w:trHeight w:val="245"/>
        </w:trPr>
        <w:tc>
          <w:tcPr>
            <w:tcW w:w="1875" w:type="pct"/>
            <w:noWrap/>
          </w:tcPr>
          <w:p w14:paraId="148E9AC3" w14:textId="5C289B4C" w:rsidR="00E45BBE" w:rsidRPr="00753442" w:rsidRDefault="00E45BBE" w:rsidP="00E45BBE">
            <w:pPr>
              <w:jc w:val="left"/>
              <w:rPr>
                <w:b/>
                <w:bCs/>
                <w:color w:val="000000"/>
                <w:sz w:val="18"/>
                <w:szCs w:val="18"/>
              </w:rPr>
            </w:pPr>
            <w:r w:rsidRPr="00753442">
              <w:rPr>
                <w:b/>
                <w:bCs/>
                <w:sz w:val="18"/>
                <w:szCs w:val="18"/>
              </w:rPr>
              <w:t>Harchar (Mehtarlam)</w:t>
            </w:r>
          </w:p>
        </w:tc>
        <w:tc>
          <w:tcPr>
            <w:tcW w:w="782" w:type="pct"/>
            <w:vAlign w:val="center"/>
          </w:tcPr>
          <w:p w14:paraId="3DD3F85B" w14:textId="28CB0254" w:rsidR="00E45BBE" w:rsidRPr="00753442" w:rsidRDefault="00E45BBE" w:rsidP="00E45BBE">
            <w:pPr>
              <w:jc w:val="center"/>
              <w:rPr>
                <w:b/>
                <w:bCs/>
                <w:color w:val="000000"/>
                <w:sz w:val="18"/>
                <w:szCs w:val="18"/>
              </w:rPr>
            </w:pPr>
            <w:r w:rsidRPr="00753442">
              <w:rPr>
                <w:b/>
                <w:bCs/>
                <w:color w:val="000000"/>
                <w:sz w:val="18"/>
                <w:szCs w:val="18"/>
              </w:rPr>
              <w:t>19.0%</w:t>
            </w:r>
          </w:p>
        </w:tc>
        <w:tc>
          <w:tcPr>
            <w:tcW w:w="781" w:type="pct"/>
            <w:vAlign w:val="center"/>
          </w:tcPr>
          <w:p w14:paraId="07EB7E29" w14:textId="0F250FFC" w:rsidR="00E45BBE" w:rsidRPr="00753442" w:rsidRDefault="00E45BBE" w:rsidP="00E45BBE">
            <w:pPr>
              <w:jc w:val="center"/>
              <w:rPr>
                <w:b/>
                <w:bCs/>
                <w:color w:val="000000"/>
                <w:sz w:val="18"/>
                <w:szCs w:val="18"/>
              </w:rPr>
            </w:pPr>
            <w:r w:rsidRPr="00753442">
              <w:rPr>
                <w:b/>
                <w:bCs/>
                <w:color w:val="000000"/>
                <w:sz w:val="18"/>
                <w:szCs w:val="18"/>
              </w:rPr>
              <w:t>76.2%</w:t>
            </w:r>
          </w:p>
        </w:tc>
        <w:tc>
          <w:tcPr>
            <w:tcW w:w="781" w:type="pct"/>
            <w:vAlign w:val="center"/>
          </w:tcPr>
          <w:p w14:paraId="44F35760" w14:textId="1EB821DB" w:rsidR="00E45BBE" w:rsidRPr="00753442" w:rsidRDefault="00E45BBE" w:rsidP="00E45BBE">
            <w:pPr>
              <w:jc w:val="center"/>
              <w:rPr>
                <w:b/>
                <w:bCs/>
                <w:color w:val="000000"/>
                <w:sz w:val="18"/>
                <w:szCs w:val="18"/>
              </w:rPr>
            </w:pPr>
            <w:r w:rsidRPr="00753442">
              <w:rPr>
                <w:b/>
                <w:bCs/>
                <w:color w:val="000000"/>
                <w:sz w:val="18"/>
                <w:szCs w:val="18"/>
              </w:rPr>
              <w:t>4.8%</w:t>
            </w:r>
          </w:p>
        </w:tc>
        <w:tc>
          <w:tcPr>
            <w:tcW w:w="781" w:type="pct"/>
            <w:vAlign w:val="center"/>
          </w:tcPr>
          <w:p w14:paraId="7053A470" w14:textId="3DEE63CB" w:rsidR="00E45BBE" w:rsidRPr="00753442" w:rsidRDefault="00E45BBE" w:rsidP="00E45BBE">
            <w:pPr>
              <w:jc w:val="center"/>
              <w:rPr>
                <w:b/>
                <w:bCs/>
                <w:color w:val="000000"/>
                <w:sz w:val="18"/>
                <w:szCs w:val="18"/>
              </w:rPr>
            </w:pPr>
            <w:r w:rsidRPr="00753442">
              <w:rPr>
                <w:b/>
                <w:bCs/>
                <w:color w:val="000000"/>
                <w:sz w:val="18"/>
                <w:szCs w:val="18"/>
              </w:rPr>
              <w:t>0.0%</w:t>
            </w:r>
          </w:p>
        </w:tc>
      </w:tr>
      <w:tr w:rsidR="001A4E25" w:rsidRPr="00E50F9E" w14:paraId="4375A586" w14:textId="77777777" w:rsidTr="005C3F17">
        <w:trPr>
          <w:trHeight w:val="245"/>
        </w:trPr>
        <w:tc>
          <w:tcPr>
            <w:tcW w:w="1875" w:type="pct"/>
            <w:noWrap/>
            <w:vAlign w:val="center"/>
          </w:tcPr>
          <w:p w14:paraId="1E3F4779" w14:textId="1CDAA806" w:rsidR="001A4E25" w:rsidRPr="00753442" w:rsidRDefault="0091417F" w:rsidP="005F59D6">
            <w:pPr>
              <w:jc w:val="left"/>
              <w:rPr>
                <w:b/>
                <w:bCs/>
                <w:color w:val="000000"/>
                <w:sz w:val="18"/>
                <w:szCs w:val="18"/>
              </w:rPr>
            </w:pPr>
            <w:r>
              <w:rPr>
                <w:b/>
                <w:bCs/>
                <w:color w:val="000000"/>
                <w:sz w:val="18"/>
                <w:szCs w:val="18"/>
              </w:rPr>
              <w:t>Average</w:t>
            </w:r>
          </w:p>
        </w:tc>
        <w:tc>
          <w:tcPr>
            <w:tcW w:w="782" w:type="pct"/>
            <w:vAlign w:val="center"/>
          </w:tcPr>
          <w:p w14:paraId="7CA59C75" w14:textId="2F59E3C4" w:rsidR="001A4E25" w:rsidRPr="00753442" w:rsidRDefault="001A4E25" w:rsidP="005F59D6">
            <w:pPr>
              <w:jc w:val="center"/>
              <w:rPr>
                <w:b/>
                <w:bCs/>
                <w:color w:val="000000"/>
                <w:sz w:val="18"/>
                <w:szCs w:val="18"/>
              </w:rPr>
            </w:pPr>
            <w:r w:rsidRPr="00753442">
              <w:rPr>
                <w:b/>
                <w:bCs/>
                <w:color w:val="000000"/>
                <w:sz w:val="18"/>
                <w:szCs w:val="18"/>
              </w:rPr>
              <w:t>50.4%</w:t>
            </w:r>
          </w:p>
        </w:tc>
        <w:tc>
          <w:tcPr>
            <w:tcW w:w="781" w:type="pct"/>
            <w:vAlign w:val="center"/>
          </w:tcPr>
          <w:p w14:paraId="78703AD9" w14:textId="2683A900" w:rsidR="001A4E25" w:rsidRPr="00753442" w:rsidRDefault="001A4E25" w:rsidP="005F59D6">
            <w:pPr>
              <w:jc w:val="center"/>
              <w:rPr>
                <w:b/>
                <w:bCs/>
                <w:color w:val="000000"/>
                <w:sz w:val="18"/>
                <w:szCs w:val="18"/>
              </w:rPr>
            </w:pPr>
            <w:r w:rsidRPr="00753442">
              <w:rPr>
                <w:b/>
                <w:bCs/>
                <w:color w:val="000000"/>
                <w:sz w:val="18"/>
                <w:szCs w:val="18"/>
              </w:rPr>
              <w:t>22.8%</w:t>
            </w:r>
          </w:p>
        </w:tc>
        <w:tc>
          <w:tcPr>
            <w:tcW w:w="781" w:type="pct"/>
            <w:vAlign w:val="center"/>
          </w:tcPr>
          <w:p w14:paraId="19DB1E0C" w14:textId="6B5E1844" w:rsidR="001A4E25" w:rsidRPr="00753442" w:rsidRDefault="001A4E25" w:rsidP="005F59D6">
            <w:pPr>
              <w:jc w:val="center"/>
              <w:rPr>
                <w:b/>
                <w:bCs/>
                <w:color w:val="000000"/>
                <w:sz w:val="18"/>
                <w:szCs w:val="18"/>
              </w:rPr>
            </w:pPr>
            <w:r w:rsidRPr="00753442">
              <w:rPr>
                <w:b/>
                <w:bCs/>
                <w:color w:val="000000"/>
                <w:sz w:val="18"/>
                <w:szCs w:val="18"/>
              </w:rPr>
              <w:t>25.8%</w:t>
            </w:r>
          </w:p>
        </w:tc>
        <w:tc>
          <w:tcPr>
            <w:tcW w:w="781" w:type="pct"/>
            <w:vAlign w:val="center"/>
          </w:tcPr>
          <w:p w14:paraId="048E8AE6" w14:textId="33163F40" w:rsidR="001A4E25" w:rsidRPr="00753442" w:rsidRDefault="001A4E25" w:rsidP="005F59D6">
            <w:pPr>
              <w:jc w:val="center"/>
              <w:rPr>
                <w:b/>
                <w:bCs/>
                <w:color w:val="000000"/>
                <w:sz w:val="18"/>
                <w:szCs w:val="18"/>
              </w:rPr>
            </w:pPr>
            <w:r w:rsidRPr="00753442">
              <w:rPr>
                <w:b/>
                <w:bCs/>
                <w:color w:val="000000"/>
                <w:sz w:val="18"/>
                <w:szCs w:val="18"/>
              </w:rPr>
              <w:t>1.0%</w:t>
            </w:r>
          </w:p>
        </w:tc>
      </w:tr>
    </w:tbl>
    <w:p w14:paraId="5DFB6F71" w14:textId="4807F083" w:rsidR="007A26D3" w:rsidRPr="00E04730" w:rsidRDefault="007A26D3" w:rsidP="00725708">
      <w:pPr>
        <w:rPr>
          <w:sz w:val="10"/>
        </w:rPr>
      </w:pPr>
    </w:p>
    <w:p w14:paraId="73A2BE9C" w14:textId="77777777" w:rsidR="00E04730" w:rsidRDefault="00E04730" w:rsidP="00725708"/>
    <w:p w14:paraId="337B5C43" w14:textId="396C262B" w:rsidR="006006B5" w:rsidRDefault="006006B5" w:rsidP="00725708">
      <w:r>
        <w:t>The survey enquired into the reasons for the household moving into the settlement they were currently residing. The reasons differ substantially for non-displac</w:t>
      </w:r>
      <w:r w:rsidR="007232C2">
        <w:t>ed, IDP and returnee households:</w:t>
      </w:r>
      <w:r w:rsidR="00BB012E">
        <w:t xml:space="preserve"> for host community pull factors such as economic</w:t>
      </w:r>
      <w:r w:rsidR="003F0679">
        <w:t xml:space="preserve"> (53.3%)</w:t>
      </w:r>
      <w:r w:rsidR="00BB012E">
        <w:t xml:space="preserve"> and study </w:t>
      </w:r>
      <w:r w:rsidR="003F0679">
        <w:t xml:space="preserve">(3.6%) </w:t>
      </w:r>
      <w:r w:rsidR="00BB012E">
        <w:t>opportunities appear to be the most significant, which problems with housing in the previous location were the most important push factor</w:t>
      </w:r>
      <w:r w:rsidR="003F0679">
        <w:t xml:space="preserve"> (</w:t>
      </w:r>
      <w:r w:rsidR="00C5154F">
        <w:t>4.9%</w:t>
      </w:r>
      <w:r w:rsidR="003F0679">
        <w:t>)</w:t>
      </w:r>
      <w:r w:rsidR="00BB012E">
        <w:t>. For IDP households, security was the most important push factor for displacement</w:t>
      </w:r>
      <w:r w:rsidR="003F0679">
        <w:t xml:space="preserve"> at 86.9%</w:t>
      </w:r>
      <w:r w:rsidR="00FB762E">
        <w:t>. Returnee households were mostly motivated by returning to their settlement of origin</w:t>
      </w:r>
      <w:r w:rsidR="00C5154F">
        <w:t xml:space="preserve">, </w:t>
      </w:r>
      <w:r w:rsidR="00FB762E">
        <w:t xml:space="preserve">while other considerations were </w:t>
      </w:r>
      <w:r w:rsidR="00C5154F">
        <w:t xml:space="preserve">significantly </w:t>
      </w:r>
      <w:r w:rsidR="00FB762E">
        <w:t xml:space="preserve">less </w:t>
      </w:r>
      <w:r w:rsidR="00A60FFF">
        <w:t>common</w:t>
      </w:r>
      <w:r w:rsidR="00FB762E">
        <w:t>.</w:t>
      </w:r>
    </w:p>
    <w:p w14:paraId="5420B1AB" w14:textId="43F0EA7E" w:rsidR="00FB762E" w:rsidRDefault="0038317D" w:rsidP="0038317D">
      <w:pPr>
        <w:tabs>
          <w:tab w:val="left" w:pos="1490"/>
        </w:tabs>
      </w:pPr>
      <w:r>
        <w:tab/>
      </w:r>
    </w:p>
    <w:p w14:paraId="701FFE84" w14:textId="3D8D386B" w:rsidR="00FB762E" w:rsidRDefault="005E10FC" w:rsidP="00725708">
      <w:r>
        <w:t>A</w:t>
      </w:r>
      <w:r w:rsidR="00FB762E">
        <w:t xml:space="preserve"> large proportion of surveyed households </w:t>
      </w:r>
      <w:r w:rsidR="00FA1CC5">
        <w:t>(</w:t>
      </w:r>
      <w:r w:rsidR="00FB762E">
        <w:t>10,9%</w:t>
      </w:r>
      <w:r w:rsidR="00FA1CC5">
        <w:t>)</w:t>
      </w:r>
      <w:r w:rsidR="00FB762E">
        <w:t xml:space="preserve"> </w:t>
      </w:r>
      <w:r w:rsidR="00FA1CC5">
        <w:t xml:space="preserve">mentioned issues with </w:t>
      </w:r>
      <w:r w:rsidR="00FB762E">
        <w:t>their previous housing as one of the reasons that pushed them to search for the current accommodation: th</w:t>
      </w:r>
      <w:r w:rsidR="00C5457B">
        <w:t>is</w:t>
      </w:r>
      <w:r w:rsidR="00FB762E">
        <w:t xml:space="preserve"> category comprises such reasons as </w:t>
      </w:r>
      <w:r w:rsidR="00C5154F">
        <w:t xml:space="preserve">unaffordable </w:t>
      </w:r>
      <w:r w:rsidR="00FB762E">
        <w:t xml:space="preserve">rent (3.4%) poor conditions of previous housing </w:t>
      </w:r>
      <w:r w:rsidR="00F113C7">
        <w:t>(</w:t>
      </w:r>
      <w:r w:rsidR="00FB762E">
        <w:t>2.5%</w:t>
      </w:r>
      <w:r w:rsidR="00F113C7">
        <w:t>)</w:t>
      </w:r>
      <w:r w:rsidR="00FB762E">
        <w:t xml:space="preserve">, </w:t>
      </w:r>
      <w:r w:rsidR="00F113C7">
        <w:t>and eviction</w:t>
      </w:r>
      <w:r w:rsidR="00FB762E">
        <w:t xml:space="preserve"> </w:t>
      </w:r>
      <w:r w:rsidR="00FA1CC5">
        <w:t>(</w:t>
      </w:r>
      <w:r w:rsidR="00FB762E">
        <w:t>0.8%</w:t>
      </w:r>
      <w:r w:rsidR="00FA1CC5">
        <w:t>).</w:t>
      </w:r>
    </w:p>
    <w:p w14:paraId="44C5D001" w14:textId="3142C15C" w:rsidR="006E4F41" w:rsidRDefault="006E4F41" w:rsidP="002077E9">
      <w:pPr>
        <w:rPr>
          <w:rFonts w:cstheme="minorHAnsi"/>
        </w:rPr>
      </w:pPr>
    </w:p>
    <w:p w14:paraId="34712503" w14:textId="7303ACC1" w:rsidR="00CF0F7B" w:rsidRDefault="00782190" w:rsidP="00B268C1">
      <w:pPr>
        <w:pStyle w:val="Heading2"/>
      </w:pPr>
      <w:bookmarkStart w:id="14" w:name="_Toc523407957"/>
      <w:r>
        <w:t xml:space="preserve">Rental Prices </w:t>
      </w:r>
      <w:r w:rsidR="005D0B7A">
        <w:t>across locations and quality of shelter</w:t>
      </w:r>
      <w:bookmarkEnd w:id="14"/>
    </w:p>
    <w:p w14:paraId="12807372" w14:textId="77777777" w:rsidR="00B268C1" w:rsidRDefault="00B268C1" w:rsidP="00AB5EEA"/>
    <w:p w14:paraId="2B15A44F" w14:textId="6489E6FC" w:rsidR="00392AD1" w:rsidRDefault="00CA1256" w:rsidP="00AB5EEA">
      <w:r>
        <w:t>R</w:t>
      </w:r>
      <w:r w:rsidR="00392AD1">
        <w:t>e</w:t>
      </w:r>
      <w:r w:rsidR="00CF0F7B">
        <w:t xml:space="preserve">nt differs very significantly across </w:t>
      </w:r>
      <w:r w:rsidR="001A4E25">
        <w:t>locations</w:t>
      </w:r>
      <w:r w:rsidR="00CF0F7B">
        <w:t xml:space="preserve"> </w:t>
      </w:r>
      <w:r w:rsidR="00392AD1">
        <w:t>and</w:t>
      </w:r>
      <w:r w:rsidR="00CF0F7B">
        <w:t xml:space="preserve"> </w:t>
      </w:r>
      <w:r w:rsidR="00392AD1">
        <w:t>for housing units of different size</w:t>
      </w:r>
      <w:r w:rsidR="006133E5">
        <w:t xml:space="preserve"> and quality (</w:t>
      </w:r>
      <w:r w:rsidR="006133E5">
        <w:fldChar w:fldCharType="begin"/>
      </w:r>
      <w:r w:rsidR="006133E5">
        <w:instrText xml:space="preserve"> REF _Ref523225593 \h </w:instrText>
      </w:r>
      <w:r w:rsidR="006133E5">
        <w:fldChar w:fldCharType="separate"/>
      </w:r>
      <w:r w:rsidR="006133E5">
        <w:t xml:space="preserve">Table </w:t>
      </w:r>
      <w:r w:rsidR="006133E5">
        <w:rPr>
          <w:noProof/>
        </w:rPr>
        <w:t>3</w:t>
      </w:r>
      <w:r w:rsidR="006133E5">
        <w:fldChar w:fldCharType="end"/>
      </w:r>
      <w:r w:rsidR="006133E5">
        <w:t>)</w:t>
      </w:r>
      <w:r w:rsidR="00392AD1">
        <w:t>. Mo</w:t>
      </w:r>
      <w:r w:rsidR="00CF0F7B">
        <w:t xml:space="preserve">nthly rent is highest for all unit types is in Jalalabad urban area, in Jalalabad district in particular. </w:t>
      </w:r>
      <w:r w:rsidR="00BB5128">
        <w:t>R</w:t>
      </w:r>
      <w:r w:rsidR="00CF0F7B">
        <w:t xml:space="preserve">ent is lowest in the predominantly rural settlements of Chamtala and in </w:t>
      </w:r>
      <w:r w:rsidR="00E45BBE">
        <w:t>Bar Shegi (Kunar province)</w:t>
      </w:r>
      <w:r w:rsidR="00CF0F7B">
        <w:t>.</w:t>
      </w:r>
      <w:r w:rsidR="00581726">
        <w:t xml:space="preserve"> </w:t>
      </w:r>
    </w:p>
    <w:p w14:paraId="46203106" w14:textId="7B7E6191" w:rsidR="005F746A" w:rsidRDefault="005F746A" w:rsidP="00AB5EEA"/>
    <w:p w14:paraId="3590014F" w14:textId="4BD4FFED" w:rsidR="00753442" w:rsidRDefault="00753442" w:rsidP="00753442">
      <w:bookmarkStart w:id="15" w:name="_Ref522695725"/>
      <w:r>
        <w:t xml:space="preserve">Rent also varies very significantly with the quality of housing. For the purpose of this assessment, and in order to allow disaggregation of housing by quality, a system of technical scoring indicators was </w:t>
      </w:r>
      <w:r w:rsidR="007017F6">
        <w:t xml:space="preserve">developed </w:t>
      </w:r>
      <w:r>
        <w:t>for this survey. The technical score t</w:t>
      </w:r>
      <w:r w:rsidR="00BB5128">
        <w:t>ook</w:t>
      </w:r>
      <w:r>
        <w:t xml:space="preserve"> into account physical condition of the housing unit, water and sanitation,</w:t>
      </w:r>
      <w:r w:rsidR="007017F6">
        <w:t xml:space="preserve"> as well as living conditions</w:t>
      </w:r>
      <w:r w:rsidR="00BB5128">
        <w:t xml:space="preserve"> (mainly evaluated through the</w:t>
      </w:r>
      <w:r w:rsidR="007017F6">
        <w:t xml:space="preserve"> occupancy per room</w:t>
      </w:r>
      <w:r w:rsidR="00BB5128">
        <w:t xml:space="preserve"> / overcrowding indicator)</w:t>
      </w:r>
      <w:r>
        <w:t xml:space="preserve">. </w:t>
      </w:r>
    </w:p>
    <w:p w14:paraId="35321676" w14:textId="4997037D" w:rsidR="00B268C1" w:rsidRDefault="00B268C1" w:rsidP="00313A6C">
      <w:pPr>
        <w:spacing w:afterLines="40" w:after="96"/>
      </w:pPr>
    </w:p>
    <w:p w14:paraId="416D9DB7" w14:textId="77777777" w:rsidR="00E04730" w:rsidRDefault="00E04730" w:rsidP="00313A6C">
      <w:pPr>
        <w:spacing w:afterLines="40" w:after="96"/>
      </w:pPr>
    </w:p>
    <w:p w14:paraId="708EF350" w14:textId="2720ED08" w:rsidR="00753442" w:rsidRDefault="00753442" w:rsidP="00313A6C">
      <w:pPr>
        <w:spacing w:afterLines="40" w:after="96"/>
      </w:pPr>
      <w:r>
        <w:t xml:space="preserve">This scoring system allows to divide all rented housing stock into 5 categories: </w:t>
      </w:r>
    </w:p>
    <w:p w14:paraId="37192612" w14:textId="25EC6370" w:rsidR="00753442" w:rsidRDefault="00753442" w:rsidP="00A24338">
      <w:pPr>
        <w:pStyle w:val="ListParagraph"/>
        <w:numPr>
          <w:ilvl w:val="0"/>
          <w:numId w:val="23"/>
        </w:numPr>
        <w:spacing w:after="40" w:line="240" w:lineRule="auto"/>
        <w:contextualSpacing w:val="0"/>
        <w:jc w:val="both"/>
      </w:pPr>
      <w:r>
        <w:t xml:space="preserve">“extremely poor” for the unacceptable housing conditions, both in terms of quality and </w:t>
      </w:r>
      <w:r w:rsidR="007017F6">
        <w:t>living conditions</w:t>
      </w:r>
      <w:r w:rsidR="00313A6C">
        <w:t>;</w:t>
      </w:r>
      <w:r>
        <w:t xml:space="preserve"> </w:t>
      </w:r>
    </w:p>
    <w:p w14:paraId="5AD64A7E" w14:textId="10B7EC72" w:rsidR="00753442" w:rsidRDefault="00753442" w:rsidP="00A24338">
      <w:pPr>
        <w:pStyle w:val="ListParagraph"/>
        <w:numPr>
          <w:ilvl w:val="0"/>
          <w:numId w:val="23"/>
        </w:numPr>
        <w:spacing w:after="40" w:line="240" w:lineRule="auto"/>
        <w:contextualSpacing w:val="0"/>
        <w:jc w:val="both"/>
      </w:pPr>
      <w:r>
        <w:t>“poor” for housing that falls below minimum shelter standards, but could be rehabilitated or upgraded to</w:t>
      </w:r>
      <w:r w:rsidR="00313A6C">
        <w:t xml:space="preserve"> satisfy minimum quality levels;</w:t>
      </w:r>
    </w:p>
    <w:p w14:paraId="69F4A853" w14:textId="6DF2CAE4" w:rsidR="00753442" w:rsidRDefault="00753442" w:rsidP="00A24338">
      <w:pPr>
        <w:pStyle w:val="ListParagraph"/>
        <w:numPr>
          <w:ilvl w:val="0"/>
          <w:numId w:val="23"/>
        </w:numPr>
        <w:spacing w:after="40" w:line="240" w:lineRule="auto"/>
        <w:contextualSpacing w:val="0"/>
        <w:jc w:val="both"/>
      </w:pPr>
      <w:r>
        <w:t>“fair but overcrowded” for housing that satisfies minimum technical standards.</w:t>
      </w:r>
      <w:r w:rsidR="00313A6C">
        <w:t xml:space="preserve"> Score</w:t>
      </w:r>
      <w:r>
        <w:t xml:space="preserve"> assigned to housing that fulfills minimum quality </w:t>
      </w:r>
      <w:r w:rsidR="007017F6">
        <w:t>requirements but</w:t>
      </w:r>
      <w:r>
        <w:t xml:space="preserve"> </w:t>
      </w:r>
      <w:r w:rsidR="00313A6C">
        <w:t xml:space="preserve">does not provide the additional space that </w:t>
      </w:r>
      <w:r>
        <w:t>larger households</w:t>
      </w:r>
      <w:r w:rsidR="00313A6C">
        <w:t xml:space="preserve"> require;</w:t>
      </w:r>
    </w:p>
    <w:p w14:paraId="69EA6F36" w14:textId="64623EC7" w:rsidR="00753442" w:rsidRDefault="00753442" w:rsidP="00A24338">
      <w:pPr>
        <w:pStyle w:val="ListParagraph"/>
        <w:numPr>
          <w:ilvl w:val="0"/>
          <w:numId w:val="23"/>
        </w:numPr>
        <w:spacing w:after="40" w:line="240" w:lineRule="auto"/>
        <w:contextualSpacing w:val="0"/>
        <w:jc w:val="both"/>
      </w:pPr>
      <w:r>
        <w:t xml:space="preserve"> “fair” quality - for housing that satisfies a bare minimum of technical standards of shelter quality, as well as fulfills the standard for </w:t>
      </w:r>
      <w:r w:rsidR="007017F6">
        <w:t>living conditions</w:t>
      </w:r>
      <w:r w:rsidR="00313A6C">
        <w:t>;</w:t>
      </w:r>
    </w:p>
    <w:p w14:paraId="61B95C82" w14:textId="4AAFA4DC" w:rsidR="00753442" w:rsidRDefault="00753442" w:rsidP="00313A6C">
      <w:pPr>
        <w:pStyle w:val="ListParagraph"/>
        <w:numPr>
          <w:ilvl w:val="0"/>
          <w:numId w:val="23"/>
        </w:numPr>
        <w:spacing w:after="0"/>
        <w:contextualSpacing w:val="0"/>
        <w:jc w:val="both"/>
      </w:pPr>
      <w:r>
        <w:t xml:space="preserve">“excellent” for housing that satisfies </w:t>
      </w:r>
      <w:r w:rsidR="007017F6">
        <w:t xml:space="preserve">an extended list of </w:t>
      </w:r>
      <w:r>
        <w:t>standards for shelter quality, both in terms of technical quality, occupancy</w:t>
      </w:r>
      <w:r w:rsidR="007017F6">
        <w:t xml:space="preserve"> and living conditions. </w:t>
      </w:r>
    </w:p>
    <w:p w14:paraId="1F1EC4AA" w14:textId="77777777" w:rsidR="00753442" w:rsidRDefault="00753442" w:rsidP="00753442">
      <w:pPr>
        <w:pStyle w:val="ListParagraph"/>
        <w:spacing w:after="0"/>
        <w:contextualSpacing w:val="0"/>
      </w:pPr>
    </w:p>
    <w:p w14:paraId="521A8B21" w14:textId="119532AC" w:rsidR="00753442" w:rsidRDefault="00753442" w:rsidP="00753442">
      <w:r>
        <w:t xml:space="preserve">The analysis of rental price of housing units of different quality </w:t>
      </w:r>
      <w:r w:rsidR="00A851A9">
        <w:t>(</w:t>
      </w:r>
      <w:r w:rsidR="00A851A9">
        <w:fldChar w:fldCharType="begin"/>
      </w:r>
      <w:r w:rsidR="00A851A9">
        <w:instrText xml:space="preserve"> REF _Ref523225593 \h </w:instrText>
      </w:r>
      <w:r w:rsidR="00A851A9">
        <w:fldChar w:fldCharType="separate"/>
      </w:r>
      <w:r w:rsidR="009001C0">
        <w:t xml:space="preserve">Table </w:t>
      </w:r>
      <w:r w:rsidR="009001C0">
        <w:rPr>
          <w:noProof/>
        </w:rPr>
        <w:t>4</w:t>
      </w:r>
      <w:r w:rsidR="00A851A9">
        <w:fldChar w:fldCharType="end"/>
      </w:r>
      <w:r w:rsidR="00A851A9">
        <w:t xml:space="preserve">) </w:t>
      </w:r>
      <w:r>
        <w:t xml:space="preserve">demonstrates that “poor” quality housing dominates practically all the markets, while housing that satisfies minimum technical standards does not exceed a third in the most developed urban markets, while in certain rural settlements it is practically absent. </w:t>
      </w:r>
    </w:p>
    <w:p w14:paraId="5102FA01" w14:textId="181B5EE5" w:rsidR="00A24338" w:rsidRDefault="00A24338" w:rsidP="00753442"/>
    <w:p w14:paraId="1517A7E6" w14:textId="28EB37C0" w:rsidR="00A24338" w:rsidRDefault="00A24338" w:rsidP="00A24338">
      <w:r>
        <w:t xml:space="preserve">The highest proportion of housing of adequate (“fair” and “excellent”) quality can be found in semi-urban settlements </w:t>
      </w:r>
      <w:r>
        <w:fldChar w:fldCharType="begin"/>
      </w:r>
      <w:r>
        <w:instrText xml:space="preserve"> REF _Ref523210596 \h </w:instrText>
      </w:r>
      <w:r>
        <w:fldChar w:fldCharType="separate"/>
      </w:r>
      <w:r w:rsidR="009001C0">
        <w:t xml:space="preserve">Table </w:t>
      </w:r>
      <w:r w:rsidR="009001C0">
        <w:rPr>
          <w:noProof/>
        </w:rPr>
        <w:t>5</w:t>
      </w:r>
      <w:r>
        <w:fldChar w:fldCharType="end"/>
      </w:r>
      <w:r>
        <w:t>). In urban areas of central Jalalabad the quality of housing is slightly lower, whereas in rural areas housing of fair and excellent quality is virtually non-existent.</w:t>
      </w:r>
    </w:p>
    <w:p w14:paraId="5BF6D82C" w14:textId="030AFC98" w:rsidR="00753442" w:rsidRDefault="00753442" w:rsidP="00753442"/>
    <w:p w14:paraId="5788F2FD" w14:textId="77777777" w:rsidR="000260D0" w:rsidRPr="000260D0" w:rsidRDefault="000260D0" w:rsidP="00753442">
      <w:pPr>
        <w:rPr>
          <w:sz w:val="10"/>
        </w:rPr>
      </w:pPr>
    </w:p>
    <w:p w14:paraId="6CFEE8EA" w14:textId="66BBE78E" w:rsidR="00475B92" w:rsidRDefault="00475B92" w:rsidP="00475B92">
      <w:pPr>
        <w:pStyle w:val="Caption"/>
        <w:keepNext/>
      </w:pPr>
      <w:bookmarkStart w:id="16" w:name="_Ref523225593"/>
      <w:r>
        <w:t xml:space="preserve">Table </w:t>
      </w:r>
      <w:r w:rsidR="00A47312">
        <w:rPr>
          <w:noProof/>
        </w:rPr>
        <w:fldChar w:fldCharType="begin"/>
      </w:r>
      <w:r w:rsidR="00A47312">
        <w:rPr>
          <w:noProof/>
        </w:rPr>
        <w:instrText xml:space="preserve"> SEQ Table \* ARABIC </w:instrText>
      </w:r>
      <w:r w:rsidR="00A47312">
        <w:rPr>
          <w:noProof/>
        </w:rPr>
        <w:fldChar w:fldCharType="separate"/>
      </w:r>
      <w:r w:rsidR="006133E5">
        <w:rPr>
          <w:noProof/>
        </w:rPr>
        <w:t>3</w:t>
      </w:r>
      <w:r w:rsidR="00A47312">
        <w:rPr>
          <w:noProof/>
        </w:rPr>
        <w:fldChar w:fldCharType="end"/>
      </w:r>
      <w:bookmarkEnd w:id="15"/>
      <w:bookmarkEnd w:id="16"/>
      <w:r>
        <w:t xml:space="preserve"> Monthly rent for housing of </w:t>
      </w:r>
      <w:r w:rsidR="00651F3E">
        <w:t>different</w:t>
      </w:r>
      <w:r>
        <w:t xml:space="preserve"> quality in each market and share of such housing</w:t>
      </w:r>
    </w:p>
    <w:tbl>
      <w:tblPr>
        <w:tblW w:w="983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274"/>
        <w:gridCol w:w="898"/>
        <w:gridCol w:w="815"/>
        <w:gridCol w:w="898"/>
        <w:gridCol w:w="815"/>
        <w:gridCol w:w="898"/>
        <w:gridCol w:w="815"/>
        <w:gridCol w:w="898"/>
        <w:gridCol w:w="815"/>
        <w:gridCol w:w="898"/>
        <w:gridCol w:w="815"/>
      </w:tblGrid>
      <w:tr w:rsidR="0006665C" w:rsidRPr="00475B92" w14:paraId="5D68F597" w14:textId="77777777" w:rsidTr="00451A70">
        <w:trPr>
          <w:trHeight w:val="288"/>
        </w:trPr>
        <w:tc>
          <w:tcPr>
            <w:tcW w:w="1274" w:type="dxa"/>
            <w:vMerge w:val="restart"/>
            <w:noWrap/>
            <w:vAlign w:val="center"/>
            <w:hideMark/>
          </w:tcPr>
          <w:p w14:paraId="593AA448" w14:textId="15ED4755" w:rsidR="0006665C" w:rsidRPr="00753442" w:rsidRDefault="0006665C" w:rsidP="00451A70">
            <w:pPr>
              <w:jc w:val="center"/>
              <w:rPr>
                <w:sz w:val="18"/>
                <w:szCs w:val="18"/>
              </w:rPr>
            </w:pPr>
            <w:r w:rsidRPr="00753442">
              <w:rPr>
                <w:sz w:val="18"/>
                <w:szCs w:val="18"/>
              </w:rPr>
              <w:t>Markets</w:t>
            </w:r>
          </w:p>
        </w:tc>
        <w:tc>
          <w:tcPr>
            <w:tcW w:w="8565" w:type="dxa"/>
            <w:gridSpan w:val="10"/>
            <w:noWrap/>
            <w:vAlign w:val="center"/>
          </w:tcPr>
          <w:p w14:paraId="3B734DCB" w14:textId="494BF403" w:rsidR="0006665C" w:rsidRPr="00753442" w:rsidRDefault="0006665C" w:rsidP="00451A70">
            <w:pPr>
              <w:jc w:val="center"/>
              <w:rPr>
                <w:b/>
                <w:bCs/>
                <w:sz w:val="18"/>
                <w:szCs w:val="18"/>
              </w:rPr>
            </w:pPr>
            <w:r w:rsidRPr="00753442">
              <w:rPr>
                <w:b/>
                <w:bCs/>
                <w:sz w:val="18"/>
                <w:szCs w:val="18"/>
              </w:rPr>
              <w:t>Quality of housing units (technical score)</w:t>
            </w:r>
          </w:p>
        </w:tc>
      </w:tr>
      <w:tr w:rsidR="0006665C" w:rsidRPr="00475B92" w14:paraId="56C3F953" w14:textId="77777777" w:rsidTr="00451A70">
        <w:trPr>
          <w:trHeight w:val="288"/>
        </w:trPr>
        <w:tc>
          <w:tcPr>
            <w:tcW w:w="1274" w:type="dxa"/>
            <w:vMerge/>
            <w:noWrap/>
            <w:vAlign w:val="center"/>
          </w:tcPr>
          <w:p w14:paraId="2D32CCFF" w14:textId="51D4CD84" w:rsidR="0006665C" w:rsidRPr="00753442" w:rsidRDefault="0006665C" w:rsidP="00451A70">
            <w:pPr>
              <w:jc w:val="center"/>
              <w:rPr>
                <w:sz w:val="18"/>
                <w:szCs w:val="18"/>
              </w:rPr>
            </w:pPr>
          </w:p>
        </w:tc>
        <w:tc>
          <w:tcPr>
            <w:tcW w:w="1713" w:type="dxa"/>
            <w:gridSpan w:val="2"/>
            <w:noWrap/>
            <w:vAlign w:val="center"/>
          </w:tcPr>
          <w:p w14:paraId="405C6F15" w14:textId="01F64A9A" w:rsidR="0006665C" w:rsidRPr="00753442" w:rsidRDefault="0006665C" w:rsidP="00451A70">
            <w:pPr>
              <w:jc w:val="center"/>
              <w:rPr>
                <w:b/>
                <w:bCs/>
                <w:sz w:val="18"/>
                <w:szCs w:val="18"/>
              </w:rPr>
            </w:pPr>
            <w:r w:rsidRPr="00753442">
              <w:rPr>
                <w:b/>
                <w:bCs/>
                <w:sz w:val="18"/>
                <w:szCs w:val="18"/>
              </w:rPr>
              <w:t>Extremely poor</w:t>
            </w:r>
          </w:p>
        </w:tc>
        <w:tc>
          <w:tcPr>
            <w:tcW w:w="1713" w:type="dxa"/>
            <w:gridSpan w:val="2"/>
            <w:noWrap/>
            <w:vAlign w:val="center"/>
          </w:tcPr>
          <w:p w14:paraId="6651A2A5" w14:textId="22F0EAE4" w:rsidR="0006665C" w:rsidRPr="00753442" w:rsidRDefault="0006665C" w:rsidP="00451A70">
            <w:pPr>
              <w:jc w:val="center"/>
              <w:rPr>
                <w:b/>
                <w:bCs/>
                <w:sz w:val="18"/>
                <w:szCs w:val="18"/>
              </w:rPr>
            </w:pPr>
            <w:r w:rsidRPr="00753442">
              <w:rPr>
                <w:b/>
                <w:bCs/>
                <w:sz w:val="18"/>
                <w:szCs w:val="18"/>
              </w:rPr>
              <w:t>Poor</w:t>
            </w:r>
          </w:p>
        </w:tc>
        <w:tc>
          <w:tcPr>
            <w:tcW w:w="1713" w:type="dxa"/>
            <w:gridSpan w:val="2"/>
            <w:noWrap/>
            <w:vAlign w:val="center"/>
          </w:tcPr>
          <w:p w14:paraId="06DF061B" w14:textId="7256A342" w:rsidR="0006665C" w:rsidRPr="00753442" w:rsidRDefault="0006665C" w:rsidP="00451A70">
            <w:pPr>
              <w:jc w:val="center"/>
              <w:rPr>
                <w:b/>
                <w:bCs/>
                <w:sz w:val="18"/>
                <w:szCs w:val="18"/>
              </w:rPr>
            </w:pPr>
            <w:r w:rsidRPr="00753442">
              <w:rPr>
                <w:b/>
                <w:bCs/>
                <w:sz w:val="18"/>
                <w:szCs w:val="18"/>
              </w:rPr>
              <w:t xml:space="preserve">Fair </w:t>
            </w:r>
            <w:r w:rsidR="00C446F2">
              <w:rPr>
                <w:b/>
                <w:bCs/>
                <w:sz w:val="18"/>
                <w:szCs w:val="18"/>
              </w:rPr>
              <w:t>but</w:t>
            </w:r>
            <w:r w:rsidR="00C446F2" w:rsidRPr="00753442">
              <w:rPr>
                <w:b/>
                <w:bCs/>
                <w:sz w:val="18"/>
                <w:szCs w:val="18"/>
              </w:rPr>
              <w:t xml:space="preserve"> overcrowded</w:t>
            </w:r>
          </w:p>
        </w:tc>
        <w:tc>
          <w:tcPr>
            <w:tcW w:w="1713" w:type="dxa"/>
            <w:gridSpan w:val="2"/>
            <w:noWrap/>
            <w:vAlign w:val="center"/>
          </w:tcPr>
          <w:p w14:paraId="71676E54" w14:textId="533B9483" w:rsidR="0006665C" w:rsidRPr="00753442" w:rsidRDefault="0006665C" w:rsidP="00451A70">
            <w:pPr>
              <w:jc w:val="center"/>
              <w:rPr>
                <w:b/>
                <w:bCs/>
                <w:sz w:val="18"/>
                <w:szCs w:val="18"/>
              </w:rPr>
            </w:pPr>
            <w:r w:rsidRPr="00753442">
              <w:rPr>
                <w:b/>
                <w:bCs/>
                <w:sz w:val="18"/>
                <w:szCs w:val="18"/>
              </w:rPr>
              <w:t>Fair</w:t>
            </w:r>
            <w:r w:rsidR="00113347">
              <w:rPr>
                <w:b/>
                <w:bCs/>
                <w:sz w:val="18"/>
                <w:szCs w:val="18"/>
              </w:rPr>
              <w:t>*</w:t>
            </w:r>
          </w:p>
        </w:tc>
        <w:tc>
          <w:tcPr>
            <w:tcW w:w="1713" w:type="dxa"/>
            <w:gridSpan w:val="2"/>
            <w:noWrap/>
            <w:vAlign w:val="center"/>
          </w:tcPr>
          <w:p w14:paraId="377C8818" w14:textId="224F31F0" w:rsidR="0006665C" w:rsidRPr="00753442" w:rsidRDefault="0006665C" w:rsidP="00451A70">
            <w:pPr>
              <w:jc w:val="center"/>
              <w:rPr>
                <w:b/>
                <w:bCs/>
                <w:sz w:val="18"/>
                <w:szCs w:val="18"/>
              </w:rPr>
            </w:pPr>
            <w:r w:rsidRPr="00753442">
              <w:rPr>
                <w:b/>
                <w:bCs/>
                <w:sz w:val="18"/>
                <w:szCs w:val="18"/>
              </w:rPr>
              <w:t>Excellent</w:t>
            </w:r>
            <w:r w:rsidR="00113347">
              <w:rPr>
                <w:b/>
                <w:bCs/>
                <w:sz w:val="18"/>
                <w:szCs w:val="18"/>
              </w:rPr>
              <w:t>*</w:t>
            </w:r>
          </w:p>
        </w:tc>
      </w:tr>
      <w:tr w:rsidR="0006665C" w:rsidRPr="00475B92" w14:paraId="0F15251A" w14:textId="77777777" w:rsidTr="00451A70">
        <w:trPr>
          <w:trHeight w:val="245"/>
        </w:trPr>
        <w:tc>
          <w:tcPr>
            <w:tcW w:w="1274" w:type="dxa"/>
            <w:vMerge/>
            <w:noWrap/>
            <w:vAlign w:val="center"/>
            <w:hideMark/>
          </w:tcPr>
          <w:p w14:paraId="1EA2842A" w14:textId="6E25848E" w:rsidR="0006665C" w:rsidRPr="00753442" w:rsidRDefault="0006665C" w:rsidP="00451A70">
            <w:pPr>
              <w:jc w:val="center"/>
              <w:rPr>
                <w:b/>
                <w:bCs/>
                <w:sz w:val="18"/>
                <w:szCs w:val="18"/>
              </w:rPr>
            </w:pPr>
          </w:p>
        </w:tc>
        <w:tc>
          <w:tcPr>
            <w:tcW w:w="898" w:type="dxa"/>
            <w:noWrap/>
            <w:vAlign w:val="center"/>
            <w:hideMark/>
          </w:tcPr>
          <w:p w14:paraId="5BB4FEB9" w14:textId="30212A0B" w:rsidR="0006665C" w:rsidRPr="00753442" w:rsidRDefault="0006665C" w:rsidP="00451A70">
            <w:pPr>
              <w:jc w:val="center"/>
              <w:rPr>
                <w:b/>
                <w:bCs/>
                <w:sz w:val="18"/>
                <w:szCs w:val="18"/>
              </w:rPr>
            </w:pPr>
            <w:r w:rsidRPr="00753442">
              <w:rPr>
                <w:b/>
                <w:bCs/>
                <w:sz w:val="18"/>
                <w:szCs w:val="18"/>
              </w:rPr>
              <w:t>Average rent</w:t>
            </w:r>
          </w:p>
        </w:tc>
        <w:tc>
          <w:tcPr>
            <w:tcW w:w="815" w:type="dxa"/>
            <w:noWrap/>
            <w:vAlign w:val="center"/>
            <w:hideMark/>
          </w:tcPr>
          <w:p w14:paraId="499CD347" w14:textId="7D9047AD" w:rsidR="0006665C" w:rsidRPr="00753442" w:rsidRDefault="0006665C" w:rsidP="00451A70">
            <w:pPr>
              <w:jc w:val="center"/>
              <w:rPr>
                <w:b/>
                <w:bCs/>
                <w:sz w:val="18"/>
                <w:szCs w:val="18"/>
              </w:rPr>
            </w:pPr>
            <w:r w:rsidRPr="00753442">
              <w:rPr>
                <w:b/>
                <w:bCs/>
                <w:sz w:val="18"/>
                <w:szCs w:val="18"/>
              </w:rPr>
              <w:t>Share in market</w:t>
            </w:r>
          </w:p>
        </w:tc>
        <w:tc>
          <w:tcPr>
            <w:tcW w:w="898" w:type="dxa"/>
            <w:noWrap/>
            <w:vAlign w:val="center"/>
            <w:hideMark/>
          </w:tcPr>
          <w:p w14:paraId="20621CFE" w14:textId="0FCD6DE5" w:rsidR="0006665C" w:rsidRPr="00753442" w:rsidRDefault="0006665C" w:rsidP="00451A70">
            <w:pPr>
              <w:jc w:val="center"/>
              <w:rPr>
                <w:b/>
                <w:bCs/>
                <w:sz w:val="18"/>
                <w:szCs w:val="18"/>
              </w:rPr>
            </w:pPr>
            <w:r w:rsidRPr="00753442">
              <w:rPr>
                <w:b/>
                <w:bCs/>
                <w:sz w:val="18"/>
                <w:szCs w:val="18"/>
              </w:rPr>
              <w:t>Average rent</w:t>
            </w:r>
          </w:p>
        </w:tc>
        <w:tc>
          <w:tcPr>
            <w:tcW w:w="815" w:type="dxa"/>
            <w:noWrap/>
            <w:vAlign w:val="center"/>
            <w:hideMark/>
          </w:tcPr>
          <w:p w14:paraId="6EFEF9B6" w14:textId="231ABA73" w:rsidR="0006665C" w:rsidRPr="00753442" w:rsidRDefault="0006665C" w:rsidP="00451A70">
            <w:pPr>
              <w:jc w:val="center"/>
              <w:rPr>
                <w:b/>
                <w:bCs/>
                <w:sz w:val="18"/>
                <w:szCs w:val="18"/>
              </w:rPr>
            </w:pPr>
            <w:r w:rsidRPr="00753442">
              <w:rPr>
                <w:b/>
                <w:bCs/>
                <w:sz w:val="18"/>
                <w:szCs w:val="18"/>
              </w:rPr>
              <w:t>Share in market</w:t>
            </w:r>
          </w:p>
        </w:tc>
        <w:tc>
          <w:tcPr>
            <w:tcW w:w="898" w:type="dxa"/>
            <w:noWrap/>
            <w:vAlign w:val="center"/>
            <w:hideMark/>
          </w:tcPr>
          <w:p w14:paraId="46BEB939" w14:textId="0B1DD623" w:rsidR="0006665C" w:rsidRPr="00753442" w:rsidRDefault="0006665C" w:rsidP="00451A70">
            <w:pPr>
              <w:jc w:val="center"/>
              <w:rPr>
                <w:b/>
                <w:bCs/>
                <w:sz w:val="18"/>
                <w:szCs w:val="18"/>
              </w:rPr>
            </w:pPr>
            <w:r w:rsidRPr="00753442">
              <w:rPr>
                <w:b/>
                <w:bCs/>
                <w:sz w:val="18"/>
                <w:szCs w:val="18"/>
              </w:rPr>
              <w:t>Average rent</w:t>
            </w:r>
          </w:p>
        </w:tc>
        <w:tc>
          <w:tcPr>
            <w:tcW w:w="815" w:type="dxa"/>
            <w:noWrap/>
            <w:vAlign w:val="center"/>
            <w:hideMark/>
          </w:tcPr>
          <w:p w14:paraId="1DD48E29" w14:textId="536F9855" w:rsidR="0006665C" w:rsidRPr="00753442" w:rsidRDefault="0006665C" w:rsidP="00451A70">
            <w:pPr>
              <w:jc w:val="center"/>
              <w:rPr>
                <w:b/>
                <w:bCs/>
                <w:sz w:val="18"/>
                <w:szCs w:val="18"/>
              </w:rPr>
            </w:pPr>
            <w:r w:rsidRPr="00753442">
              <w:rPr>
                <w:b/>
                <w:bCs/>
                <w:sz w:val="18"/>
                <w:szCs w:val="18"/>
              </w:rPr>
              <w:t>Share in market</w:t>
            </w:r>
          </w:p>
        </w:tc>
        <w:tc>
          <w:tcPr>
            <w:tcW w:w="898" w:type="dxa"/>
            <w:noWrap/>
            <w:vAlign w:val="center"/>
            <w:hideMark/>
          </w:tcPr>
          <w:p w14:paraId="7E5E752F" w14:textId="1E67A845" w:rsidR="0006665C" w:rsidRPr="00753442" w:rsidRDefault="0006665C" w:rsidP="00451A70">
            <w:pPr>
              <w:jc w:val="center"/>
              <w:rPr>
                <w:b/>
                <w:bCs/>
                <w:sz w:val="18"/>
                <w:szCs w:val="18"/>
              </w:rPr>
            </w:pPr>
            <w:r w:rsidRPr="00753442">
              <w:rPr>
                <w:b/>
                <w:bCs/>
                <w:sz w:val="18"/>
                <w:szCs w:val="18"/>
              </w:rPr>
              <w:t>Average rent</w:t>
            </w:r>
          </w:p>
        </w:tc>
        <w:tc>
          <w:tcPr>
            <w:tcW w:w="815" w:type="dxa"/>
            <w:noWrap/>
            <w:vAlign w:val="center"/>
            <w:hideMark/>
          </w:tcPr>
          <w:p w14:paraId="08C2986B" w14:textId="7B33C473" w:rsidR="0006665C" w:rsidRPr="00753442" w:rsidRDefault="0006665C" w:rsidP="00451A70">
            <w:pPr>
              <w:jc w:val="center"/>
              <w:rPr>
                <w:b/>
                <w:bCs/>
                <w:sz w:val="18"/>
                <w:szCs w:val="18"/>
              </w:rPr>
            </w:pPr>
            <w:r w:rsidRPr="00753442">
              <w:rPr>
                <w:b/>
                <w:bCs/>
                <w:sz w:val="18"/>
                <w:szCs w:val="18"/>
              </w:rPr>
              <w:t>Share in market</w:t>
            </w:r>
          </w:p>
        </w:tc>
        <w:tc>
          <w:tcPr>
            <w:tcW w:w="898" w:type="dxa"/>
            <w:noWrap/>
            <w:vAlign w:val="center"/>
            <w:hideMark/>
          </w:tcPr>
          <w:p w14:paraId="2C5DFC97" w14:textId="7F6891FB" w:rsidR="0006665C" w:rsidRPr="00753442" w:rsidRDefault="0006665C" w:rsidP="00451A70">
            <w:pPr>
              <w:jc w:val="center"/>
              <w:rPr>
                <w:b/>
                <w:bCs/>
                <w:sz w:val="18"/>
                <w:szCs w:val="18"/>
              </w:rPr>
            </w:pPr>
            <w:r w:rsidRPr="00753442">
              <w:rPr>
                <w:b/>
                <w:bCs/>
                <w:sz w:val="18"/>
                <w:szCs w:val="18"/>
              </w:rPr>
              <w:t>Average rent</w:t>
            </w:r>
          </w:p>
        </w:tc>
        <w:tc>
          <w:tcPr>
            <w:tcW w:w="815" w:type="dxa"/>
            <w:noWrap/>
            <w:vAlign w:val="center"/>
            <w:hideMark/>
          </w:tcPr>
          <w:p w14:paraId="2CAFFDC8" w14:textId="0C046C3D" w:rsidR="0006665C" w:rsidRPr="00753442" w:rsidRDefault="0006665C" w:rsidP="00451A70">
            <w:pPr>
              <w:jc w:val="center"/>
              <w:rPr>
                <w:b/>
                <w:bCs/>
                <w:sz w:val="18"/>
                <w:szCs w:val="18"/>
              </w:rPr>
            </w:pPr>
            <w:r w:rsidRPr="00753442">
              <w:rPr>
                <w:b/>
                <w:bCs/>
                <w:sz w:val="18"/>
                <w:szCs w:val="18"/>
              </w:rPr>
              <w:t>Share in market</w:t>
            </w:r>
          </w:p>
        </w:tc>
      </w:tr>
      <w:tr w:rsidR="0006665C" w:rsidRPr="00475B92" w14:paraId="54675017" w14:textId="77777777" w:rsidTr="00451A70">
        <w:trPr>
          <w:trHeight w:val="245"/>
        </w:trPr>
        <w:tc>
          <w:tcPr>
            <w:tcW w:w="1274" w:type="dxa"/>
            <w:noWrap/>
            <w:vAlign w:val="center"/>
            <w:hideMark/>
          </w:tcPr>
          <w:p w14:paraId="393D06DA" w14:textId="77777777" w:rsidR="0006665C" w:rsidRPr="00753442" w:rsidRDefault="0006665C" w:rsidP="00451A70">
            <w:pPr>
              <w:jc w:val="left"/>
              <w:rPr>
                <w:b/>
                <w:bCs/>
                <w:sz w:val="18"/>
                <w:szCs w:val="18"/>
              </w:rPr>
            </w:pPr>
            <w:r w:rsidRPr="00753442">
              <w:rPr>
                <w:b/>
                <w:bCs/>
                <w:sz w:val="18"/>
                <w:szCs w:val="18"/>
              </w:rPr>
              <w:t>JAA urban area</w:t>
            </w:r>
          </w:p>
        </w:tc>
        <w:tc>
          <w:tcPr>
            <w:tcW w:w="898" w:type="dxa"/>
            <w:noWrap/>
            <w:vAlign w:val="center"/>
            <w:hideMark/>
          </w:tcPr>
          <w:p w14:paraId="753C99B5" w14:textId="4F5D5A14" w:rsidR="0006665C" w:rsidRPr="00753442" w:rsidRDefault="0006665C" w:rsidP="00451A70">
            <w:pPr>
              <w:jc w:val="center"/>
              <w:rPr>
                <w:b/>
                <w:bCs/>
                <w:sz w:val="18"/>
                <w:szCs w:val="18"/>
              </w:rPr>
            </w:pPr>
            <w:r w:rsidRPr="00753442">
              <w:rPr>
                <w:b/>
                <w:bCs/>
                <w:sz w:val="18"/>
                <w:szCs w:val="18"/>
              </w:rPr>
              <w:t>5163</w:t>
            </w:r>
          </w:p>
        </w:tc>
        <w:tc>
          <w:tcPr>
            <w:tcW w:w="815" w:type="dxa"/>
            <w:noWrap/>
            <w:vAlign w:val="center"/>
            <w:hideMark/>
          </w:tcPr>
          <w:p w14:paraId="30E19DA8" w14:textId="2BDD5B73" w:rsidR="0006665C" w:rsidRPr="00753442" w:rsidRDefault="0006665C" w:rsidP="00451A70">
            <w:pPr>
              <w:jc w:val="center"/>
              <w:rPr>
                <w:b/>
                <w:bCs/>
                <w:sz w:val="18"/>
                <w:szCs w:val="18"/>
              </w:rPr>
            </w:pPr>
            <w:r w:rsidRPr="00753442">
              <w:rPr>
                <w:b/>
                <w:bCs/>
                <w:sz w:val="18"/>
                <w:szCs w:val="18"/>
              </w:rPr>
              <w:t>11.7%</w:t>
            </w:r>
          </w:p>
        </w:tc>
        <w:tc>
          <w:tcPr>
            <w:tcW w:w="898" w:type="dxa"/>
            <w:noWrap/>
            <w:vAlign w:val="center"/>
            <w:hideMark/>
          </w:tcPr>
          <w:p w14:paraId="5A69F4E5" w14:textId="29298CC0" w:rsidR="0006665C" w:rsidRPr="00753442" w:rsidRDefault="0006665C" w:rsidP="00451A70">
            <w:pPr>
              <w:jc w:val="center"/>
              <w:rPr>
                <w:b/>
                <w:bCs/>
                <w:sz w:val="18"/>
                <w:szCs w:val="18"/>
              </w:rPr>
            </w:pPr>
            <w:r w:rsidRPr="00753442">
              <w:rPr>
                <w:b/>
                <w:bCs/>
                <w:sz w:val="18"/>
                <w:szCs w:val="18"/>
              </w:rPr>
              <w:t>5395</w:t>
            </w:r>
          </w:p>
        </w:tc>
        <w:tc>
          <w:tcPr>
            <w:tcW w:w="815" w:type="dxa"/>
            <w:noWrap/>
            <w:vAlign w:val="center"/>
            <w:hideMark/>
          </w:tcPr>
          <w:p w14:paraId="2DE4DE3E" w14:textId="1841A841" w:rsidR="0006665C" w:rsidRPr="00753442" w:rsidRDefault="0006665C" w:rsidP="00451A70">
            <w:pPr>
              <w:jc w:val="center"/>
              <w:rPr>
                <w:b/>
                <w:bCs/>
                <w:sz w:val="18"/>
                <w:szCs w:val="18"/>
              </w:rPr>
            </w:pPr>
            <w:r w:rsidRPr="00753442">
              <w:rPr>
                <w:b/>
                <w:bCs/>
                <w:sz w:val="18"/>
                <w:szCs w:val="18"/>
              </w:rPr>
              <w:t>62.6%</w:t>
            </w:r>
          </w:p>
        </w:tc>
        <w:tc>
          <w:tcPr>
            <w:tcW w:w="898" w:type="dxa"/>
            <w:noWrap/>
            <w:vAlign w:val="center"/>
            <w:hideMark/>
          </w:tcPr>
          <w:p w14:paraId="402EBD53" w14:textId="26DF5302" w:rsidR="0006665C" w:rsidRPr="00753442" w:rsidRDefault="0006665C" w:rsidP="00451A70">
            <w:pPr>
              <w:jc w:val="center"/>
              <w:rPr>
                <w:b/>
                <w:bCs/>
                <w:sz w:val="18"/>
                <w:szCs w:val="18"/>
              </w:rPr>
            </w:pPr>
            <w:r w:rsidRPr="00753442">
              <w:rPr>
                <w:b/>
                <w:bCs/>
                <w:sz w:val="18"/>
                <w:szCs w:val="18"/>
              </w:rPr>
              <w:t>7142</w:t>
            </w:r>
          </w:p>
        </w:tc>
        <w:tc>
          <w:tcPr>
            <w:tcW w:w="815" w:type="dxa"/>
            <w:noWrap/>
            <w:vAlign w:val="center"/>
            <w:hideMark/>
          </w:tcPr>
          <w:p w14:paraId="5C21F9F5" w14:textId="31C2ACAA" w:rsidR="0006665C" w:rsidRPr="00753442" w:rsidRDefault="0006665C" w:rsidP="00451A70">
            <w:pPr>
              <w:jc w:val="center"/>
              <w:rPr>
                <w:b/>
                <w:bCs/>
                <w:sz w:val="18"/>
                <w:szCs w:val="18"/>
              </w:rPr>
            </w:pPr>
            <w:r w:rsidRPr="00753442">
              <w:rPr>
                <w:b/>
                <w:bCs/>
                <w:sz w:val="18"/>
                <w:szCs w:val="18"/>
              </w:rPr>
              <w:t>6.9%</w:t>
            </w:r>
          </w:p>
        </w:tc>
        <w:tc>
          <w:tcPr>
            <w:tcW w:w="898" w:type="dxa"/>
            <w:noWrap/>
            <w:vAlign w:val="center"/>
            <w:hideMark/>
          </w:tcPr>
          <w:p w14:paraId="1E7F1FEC" w14:textId="452BC9CB" w:rsidR="0006665C" w:rsidRPr="00753442" w:rsidRDefault="0006665C" w:rsidP="00451A70">
            <w:pPr>
              <w:jc w:val="center"/>
              <w:rPr>
                <w:b/>
                <w:bCs/>
                <w:sz w:val="18"/>
                <w:szCs w:val="18"/>
              </w:rPr>
            </w:pPr>
            <w:r w:rsidRPr="00753442">
              <w:rPr>
                <w:b/>
                <w:bCs/>
                <w:sz w:val="18"/>
                <w:szCs w:val="18"/>
              </w:rPr>
              <w:t>7165</w:t>
            </w:r>
          </w:p>
        </w:tc>
        <w:tc>
          <w:tcPr>
            <w:tcW w:w="815" w:type="dxa"/>
            <w:noWrap/>
            <w:vAlign w:val="center"/>
            <w:hideMark/>
          </w:tcPr>
          <w:p w14:paraId="0DF85423" w14:textId="7D38CCAE" w:rsidR="0006665C" w:rsidRPr="00753442" w:rsidRDefault="0006665C" w:rsidP="00451A70">
            <w:pPr>
              <w:jc w:val="center"/>
              <w:rPr>
                <w:b/>
                <w:bCs/>
                <w:sz w:val="18"/>
                <w:szCs w:val="18"/>
              </w:rPr>
            </w:pPr>
            <w:r w:rsidRPr="00753442">
              <w:rPr>
                <w:b/>
                <w:bCs/>
                <w:sz w:val="18"/>
                <w:szCs w:val="18"/>
              </w:rPr>
              <w:t>16.6%</w:t>
            </w:r>
          </w:p>
        </w:tc>
        <w:tc>
          <w:tcPr>
            <w:tcW w:w="898" w:type="dxa"/>
            <w:noWrap/>
            <w:vAlign w:val="center"/>
            <w:hideMark/>
          </w:tcPr>
          <w:p w14:paraId="0AC08D6C" w14:textId="3B48F0C1" w:rsidR="0006665C" w:rsidRPr="00753442" w:rsidRDefault="0006665C" w:rsidP="00451A70">
            <w:pPr>
              <w:jc w:val="center"/>
              <w:rPr>
                <w:b/>
                <w:bCs/>
                <w:sz w:val="18"/>
                <w:szCs w:val="18"/>
              </w:rPr>
            </w:pPr>
            <w:r w:rsidRPr="00753442">
              <w:rPr>
                <w:b/>
                <w:bCs/>
                <w:sz w:val="18"/>
                <w:szCs w:val="18"/>
              </w:rPr>
              <w:t>10303</w:t>
            </w:r>
          </w:p>
        </w:tc>
        <w:tc>
          <w:tcPr>
            <w:tcW w:w="815" w:type="dxa"/>
            <w:noWrap/>
            <w:vAlign w:val="center"/>
            <w:hideMark/>
          </w:tcPr>
          <w:p w14:paraId="17FE1F62" w14:textId="1F10E5D8" w:rsidR="0006665C" w:rsidRPr="00753442" w:rsidRDefault="0006665C" w:rsidP="00451A70">
            <w:pPr>
              <w:jc w:val="center"/>
              <w:rPr>
                <w:b/>
                <w:bCs/>
                <w:sz w:val="18"/>
                <w:szCs w:val="18"/>
              </w:rPr>
            </w:pPr>
            <w:r w:rsidRPr="00753442">
              <w:rPr>
                <w:b/>
                <w:bCs/>
                <w:sz w:val="18"/>
                <w:szCs w:val="18"/>
              </w:rPr>
              <w:t>2.2%</w:t>
            </w:r>
          </w:p>
        </w:tc>
      </w:tr>
      <w:tr w:rsidR="0006665C" w:rsidRPr="00475B92" w14:paraId="5303A015" w14:textId="77777777" w:rsidTr="00451A70">
        <w:trPr>
          <w:trHeight w:val="245"/>
        </w:trPr>
        <w:tc>
          <w:tcPr>
            <w:tcW w:w="1274" w:type="dxa"/>
            <w:noWrap/>
            <w:vAlign w:val="center"/>
            <w:hideMark/>
          </w:tcPr>
          <w:p w14:paraId="1A78615E" w14:textId="1075D54C" w:rsidR="0006665C" w:rsidRPr="00753442" w:rsidRDefault="00451A70" w:rsidP="00451A70">
            <w:pPr>
              <w:jc w:val="left"/>
              <w:rPr>
                <w:sz w:val="18"/>
                <w:szCs w:val="18"/>
              </w:rPr>
            </w:pPr>
            <w:r>
              <w:rPr>
                <w:sz w:val="18"/>
                <w:szCs w:val="18"/>
              </w:rPr>
              <w:t xml:space="preserve">   </w:t>
            </w:r>
            <w:r w:rsidR="0006665C" w:rsidRPr="00753442">
              <w:rPr>
                <w:sz w:val="18"/>
                <w:szCs w:val="18"/>
              </w:rPr>
              <w:t>Jalalabad</w:t>
            </w:r>
          </w:p>
        </w:tc>
        <w:tc>
          <w:tcPr>
            <w:tcW w:w="898" w:type="dxa"/>
            <w:noWrap/>
            <w:vAlign w:val="center"/>
            <w:hideMark/>
          </w:tcPr>
          <w:p w14:paraId="173C12EA" w14:textId="6747E319" w:rsidR="0006665C" w:rsidRPr="00753442" w:rsidRDefault="0006665C" w:rsidP="00451A70">
            <w:pPr>
              <w:jc w:val="center"/>
              <w:rPr>
                <w:sz w:val="18"/>
                <w:szCs w:val="18"/>
              </w:rPr>
            </w:pPr>
            <w:r w:rsidRPr="00753442">
              <w:rPr>
                <w:sz w:val="18"/>
                <w:szCs w:val="18"/>
              </w:rPr>
              <w:t>6273</w:t>
            </w:r>
          </w:p>
        </w:tc>
        <w:tc>
          <w:tcPr>
            <w:tcW w:w="815" w:type="dxa"/>
            <w:noWrap/>
            <w:vAlign w:val="center"/>
            <w:hideMark/>
          </w:tcPr>
          <w:p w14:paraId="76AE6496" w14:textId="6E036013" w:rsidR="0006665C" w:rsidRPr="00753442" w:rsidRDefault="0006665C" w:rsidP="00451A70">
            <w:pPr>
              <w:jc w:val="center"/>
              <w:rPr>
                <w:sz w:val="18"/>
                <w:szCs w:val="18"/>
              </w:rPr>
            </w:pPr>
            <w:r w:rsidRPr="00753442">
              <w:rPr>
                <w:sz w:val="18"/>
                <w:szCs w:val="18"/>
              </w:rPr>
              <w:t>8.5%</w:t>
            </w:r>
          </w:p>
        </w:tc>
        <w:tc>
          <w:tcPr>
            <w:tcW w:w="898" w:type="dxa"/>
            <w:noWrap/>
            <w:vAlign w:val="center"/>
            <w:hideMark/>
          </w:tcPr>
          <w:p w14:paraId="1B55B692" w14:textId="48DF8EEF" w:rsidR="0006665C" w:rsidRPr="00753442" w:rsidRDefault="0006665C" w:rsidP="00451A70">
            <w:pPr>
              <w:jc w:val="center"/>
              <w:rPr>
                <w:sz w:val="18"/>
                <w:szCs w:val="18"/>
              </w:rPr>
            </w:pPr>
            <w:r w:rsidRPr="00753442">
              <w:rPr>
                <w:sz w:val="18"/>
                <w:szCs w:val="18"/>
              </w:rPr>
              <w:t>6511</w:t>
            </w:r>
          </w:p>
        </w:tc>
        <w:tc>
          <w:tcPr>
            <w:tcW w:w="815" w:type="dxa"/>
            <w:noWrap/>
            <w:vAlign w:val="center"/>
            <w:hideMark/>
          </w:tcPr>
          <w:p w14:paraId="4249BE0E" w14:textId="6B5B20B1" w:rsidR="0006665C" w:rsidRPr="00753442" w:rsidRDefault="0006665C" w:rsidP="00451A70">
            <w:pPr>
              <w:jc w:val="center"/>
              <w:rPr>
                <w:sz w:val="18"/>
                <w:szCs w:val="18"/>
              </w:rPr>
            </w:pPr>
            <w:r w:rsidRPr="00753442">
              <w:rPr>
                <w:sz w:val="18"/>
                <w:szCs w:val="18"/>
              </w:rPr>
              <w:t>59.8%</w:t>
            </w:r>
          </w:p>
        </w:tc>
        <w:tc>
          <w:tcPr>
            <w:tcW w:w="898" w:type="dxa"/>
            <w:noWrap/>
            <w:vAlign w:val="center"/>
            <w:hideMark/>
          </w:tcPr>
          <w:p w14:paraId="220CEFB6" w14:textId="47F64FC0" w:rsidR="0006665C" w:rsidRPr="00753442" w:rsidRDefault="0006665C" w:rsidP="00451A70">
            <w:pPr>
              <w:jc w:val="center"/>
              <w:rPr>
                <w:sz w:val="18"/>
                <w:szCs w:val="18"/>
              </w:rPr>
            </w:pPr>
            <w:r w:rsidRPr="00753442">
              <w:rPr>
                <w:sz w:val="18"/>
                <w:szCs w:val="18"/>
              </w:rPr>
              <w:t>8751</w:t>
            </w:r>
          </w:p>
        </w:tc>
        <w:tc>
          <w:tcPr>
            <w:tcW w:w="815" w:type="dxa"/>
            <w:noWrap/>
            <w:vAlign w:val="center"/>
            <w:hideMark/>
          </w:tcPr>
          <w:p w14:paraId="6554DDAD" w14:textId="70A75B9F" w:rsidR="0006665C" w:rsidRPr="00753442" w:rsidRDefault="0006665C" w:rsidP="00451A70">
            <w:pPr>
              <w:jc w:val="center"/>
              <w:rPr>
                <w:sz w:val="18"/>
                <w:szCs w:val="18"/>
              </w:rPr>
            </w:pPr>
            <w:r w:rsidRPr="00753442">
              <w:rPr>
                <w:sz w:val="18"/>
                <w:szCs w:val="18"/>
              </w:rPr>
              <w:t>8.1%</w:t>
            </w:r>
          </w:p>
        </w:tc>
        <w:tc>
          <w:tcPr>
            <w:tcW w:w="898" w:type="dxa"/>
            <w:noWrap/>
            <w:vAlign w:val="center"/>
            <w:hideMark/>
          </w:tcPr>
          <w:p w14:paraId="03C91769" w14:textId="511601F8" w:rsidR="0006665C" w:rsidRPr="00753442" w:rsidRDefault="0006665C" w:rsidP="00451A70">
            <w:pPr>
              <w:jc w:val="center"/>
              <w:rPr>
                <w:sz w:val="18"/>
                <w:szCs w:val="18"/>
              </w:rPr>
            </w:pPr>
            <w:r w:rsidRPr="00753442">
              <w:rPr>
                <w:sz w:val="18"/>
                <w:szCs w:val="18"/>
              </w:rPr>
              <w:t>8117</w:t>
            </w:r>
          </w:p>
        </w:tc>
        <w:tc>
          <w:tcPr>
            <w:tcW w:w="815" w:type="dxa"/>
            <w:noWrap/>
            <w:vAlign w:val="center"/>
            <w:hideMark/>
          </w:tcPr>
          <w:p w14:paraId="5493B74A" w14:textId="10C32325" w:rsidR="0006665C" w:rsidRPr="00753442" w:rsidRDefault="0006665C" w:rsidP="00451A70">
            <w:pPr>
              <w:jc w:val="center"/>
              <w:rPr>
                <w:sz w:val="18"/>
                <w:szCs w:val="18"/>
              </w:rPr>
            </w:pPr>
            <w:r w:rsidRPr="00753442">
              <w:rPr>
                <w:sz w:val="18"/>
                <w:szCs w:val="18"/>
              </w:rPr>
              <w:t>20.7%</w:t>
            </w:r>
          </w:p>
        </w:tc>
        <w:tc>
          <w:tcPr>
            <w:tcW w:w="898" w:type="dxa"/>
            <w:noWrap/>
            <w:vAlign w:val="center"/>
            <w:hideMark/>
          </w:tcPr>
          <w:p w14:paraId="41EB68CD" w14:textId="00174742" w:rsidR="0006665C" w:rsidRPr="00753442" w:rsidRDefault="0006665C" w:rsidP="00451A70">
            <w:pPr>
              <w:jc w:val="center"/>
              <w:rPr>
                <w:sz w:val="18"/>
                <w:szCs w:val="18"/>
              </w:rPr>
            </w:pPr>
            <w:r w:rsidRPr="00753442">
              <w:rPr>
                <w:sz w:val="18"/>
                <w:szCs w:val="18"/>
              </w:rPr>
              <w:t>12250</w:t>
            </w:r>
          </w:p>
        </w:tc>
        <w:tc>
          <w:tcPr>
            <w:tcW w:w="815" w:type="dxa"/>
            <w:noWrap/>
            <w:vAlign w:val="center"/>
            <w:hideMark/>
          </w:tcPr>
          <w:p w14:paraId="7F204EEB" w14:textId="07F5E7BD" w:rsidR="0006665C" w:rsidRPr="00753442" w:rsidRDefault="0006665C" w:rsidP="00451A70">
            <w:pPr>
              <w:jc w:val="center"/>
              <w:rPr>
                <w:sz w:val="18"/>
                <w:szCs w:val="18"/>
              </w:rPr>
            </w:pPr>
            <w:r w:rsidRPr="00753442">
              <w:rPr>
                <w:sz w:val="18"/>
                <w:szCs w:val="18"/>
              </w:rPr>
              <w:t>3.0%</w:t>
            </w:r>
          </w:p>
        </w:tc>
      </w:tr>
      <w:tr w:rsidR="0006665C" w:rsidRPr="00475B92" w14:paraId="6418F1EA" w14:textId="77777777" w:rsidTr="00451A70">
        <w:trPr>
          <w:trHeight w:val="245"/>
        </w:trPr>
        <w:tc>
          <w:tcPr>
            <w:tcW w:w="1274" w:type="dxa"/>
            <w:noWrap/>
            <w:vAlign w:val="center"/>
            <w:hideMark/>
          </w:tcPr>
          <w:p w14:paraId="4D212DB4" w14:textId="3DA82231" w:rsidR="0006665C" w:rsidRPr="00753442" w:rsidRDefault="00451A70" w:rsidP="00451A70">
            <w:pPr>
              <w:jc w:val="left"/>
              <w:rPr>
                <w:sz w:val="18"/>
                <w:szCs w:val="18"/>
              </w:rPr>
            </w:pPr>
            <w:r>
              <w:rPr>
                <w:sz w:val="18"/>
                <w:szCs w:val="18"/>
              </w:rPr>
              <w:t xml:space="preserve">   </w:t>
            </w:r>
            <w:r w:rsidR="0006665C" w:rsidRPr="00753442">
              <w:rPr>
                <w:sz w:val="18"/>
                <w:szCs w:val="18"/>
              </w:rPr>
              <w:t>Behsud</w:t>
            </w:r>
          </w:p>
        </w:tc>
        <w:tc>
          <w:tcPr>
            <w:tcW w:w="898" w:type="dxa"/>
            <w:noWrap/>
            <w:vAlign w:val="center"/>
            <w:hideMark/>
          </w:tcPr>
          <w:p w14:paraId="0CE34329" w14:textId="362D61D4" w:rsidR="0006665C" w:rsidRPr="00753442" w:rsidRDefault="0006665C" w:rsidP="00451A70">
            <w:pPr>
              <w:jc w:val="center"/>
              <w:rPr>
                <w:sz w:val="18"/>
                <w:szCs w:val="18"/>
              </w:rPr>
            </w:pPr>
            <w:r w:rsidRPr="00753442">
              <w:rPr>
                <w:sz w:val="18"/>
                <w:szCs w:val="18"/>
              </w:rPr>
              <w:t>2796</w:t>
            </w:r>
          </w:p>
        </w:tc>
        <w:tc>
          <w:tcPr>
            <w:tcW w:w="815" w:type="dxa"/>
            <w:noWrap/>
            <w:vAlign w:val="center"/>
            <w:hideMark/>
          </w:tcPr>
          <w:p w14:paraId="05943D89" w14:textId="0029D3DC" w:rsidR="0006665C" w:rsidRPr="00753442" w:rsidRDefault="0006665C" w:rsidP="00451A70">
            <w:pPr>
              <w:jc w:val="center"/>
              <w:rPr>
                <w:sz w:val="18"/>
                <w:szCs w:val="18"/>
              </w:rPr>
            </w:pPr>
            <w:r w:rsidRPr="00753442">
              <w:rPr>
                <w:sz w:val="18"/>
                <w:szCs w:val="18"/>
              </w:rPr>
              <w:t>14.2%</w:t>
            </w:r>
          </w:p>
        </w:tc>
        <w:tc>
          <w:tcPr>
            <w:tcW w:w="898" w:type="dxa"/>
            <w:noWrap/>
            <w:vAlign w:val="center"/>
            <w:hideMark/>
          </w:tcPr>
          <w:p w14:paraId="230968BE" w14:textId="303A2A29" w:rsidR="0006665C" w:rsidRPr="00753442" w:rsidRDefault="0006665C" w:rsidP="00451A70">
            <w:pPr>
              <w:jc w:val="center"/>
              <w:rPr>
                <w:sz w:val="18"/>
                <w:szCs w:val="18"/>
              </w:rPr>
            </w:pPr>
            <w:r w:rsidRPr="00753442">
              <w:rPr>
                <w:sz w:val="18"/>
                <w:szCs w:val="18"/>
              </w:rPr>
              <w:t>3714</w:t>
            </w:r>
          </w:p>
        </w:tc>
        <w:tc>
          <w:tcPr>
            <w:tcW w:w="815" w:type="dxa"/>
            <w:noWrap/>
            <w:vAlign w:val="center"/>
            <w:hideMark/>
          </w:tcPr>
          <w:p w14:paraId="3B040ECD" w14:textId="66B8463E" w:rsidR="0006665C" w:rsidRPr="00753442" w:rsidRDefault="0006665C" w:rsidP="00451A70">
            <w:pPr>
              <w:jc w:val="center"/>
              <w:rPr>
                <w:sz w:val="18"/>
                <w:szCs w:val="18"/>
              </w:rPr>
            </w:pPr>
            <w:r w:rsidRPr="00753442">
              <w:rPr>
                <w:sz w:val="18"/>
                <w:szCs w:val="18"/>
              </w:rPr>
              <w:t>70.8%</w:t>
            </w:r>
          </w:p>
        </w:tc>
        <w:tc>
          <w:tcPr>
            <w:tcW w:w="898" w:type="dxa"/>
            <w:noWrap/>
            <w:vAlign w:val="center"/>
            <w:hideMark/>
          </w:tcPr>
          <w:p w14:paraId="25B896C8" w14:textId="2CD1524C" w:rsidR="0006665C" w:rsidRPr="00753442" w:rsidRDefault="0006665C" w:rsidP="00451A70">
            <w:pPr>
              <w:jc w:val="center"/>
              <w:rPr>
                <w:sz w:val="18"/>
                <w:szCs w:val="18"/>
              </w:rPr>
            </w:pPr>
            <w:r w:rsidRPr="00753442">
              <w:rPr>
                <w:sz w:val="18"/>
                <w:szCs w:val="18"/>
              </w:rPr>
              <w:t>4583</w:t>
            </w:r>
          </w:p>
        </w:tc>
        <w:tc>
          <w:tcPr>
            <w:tcW w:w="815" w:type="dxa"/>
            <w:noWrap/>
            <w:vAlign w:val="center"/>
            <w:hideMark/>
          </w:tcPr>
          <w:p w14:paraId="357D34FF" w14:textId="71093909" w:rsidR="0006665C" w:rsidRPr="00753442" w:rsidRDefault="0006665C" w:rsidP="00451A70">
            <w:pPr>
              <w:jc w:val="center"/>
              <w:rPr>
                <w:sz w:val="18"/>
                <w:szCs w:val="18"/>
              </w:rPr>
            </w:pPr>
            <w:r w:rsidRPr="00753442">
              <w:rPr>
                <w:sz w:val="18"/>
                <w:szCs w:val="18"/>
              </w:rPr>
              <w:t>5.0%</w:t>
            </w:r>
          </w:p>
        </w:tc>
        <w:tc>
          <w:tcPr>
            <w:tcW w:w="898" w:type="dxa"/>
            <w:noWrap/>
            <w:vAlign w:val="center"/>
            <w:hideMark/>
          </w:tcPr>
          <w:p w14:paraId="1F66F946" w14:textId="273A0591" w:rsidR="0006665C" w:rsidRPr="00753442" w:rsidRDefault="0006665C" w:rsidP="00451A70">
            <w:pPr>
              <w:jc w:val="center"/>
              <w:rPr>
                <w:sz w:val="18"/>
                <w:szCs w:val="18"/>
              </w:rPr>
            </w:pPr>
            <w:r w:rsidRPr="00753442">
              <w:rPr>
                <w:sz w:val="18"/>
                <w:szCs w:val="18"/>
              </w:rPr>
              <w:t>5409</w:t>
            </w:r>
          </w:p>
        </w:tc>
        <w:tc>
          <w:tcPr>
            <w:tcW w:w="815" w:type="dxa"/>
            <w:noWrap/>
            <w:vAlign w:val="center"/>
            <w:hideMark/>
          </w:tcPr>
          <w:p w14:paraId="4C75B5B7" w14:textId="745D7C57" w:rsidR="0006665C" w:rsidRPr="00753442" w:rsidRDefault="0006665C" w:rsidP="00451A70">
            <w:pPr>
              <w:jc w:val="center"/>
              <w:rPr>
                <w:sz w:val="18"/>
                <w:szCs w:val="18"/>
              </w:rPr>
            </w:pPr>
            <w:r w:rsidRPr="00753442">
              <w:rPr>
                <w:sz w:val="18"/>
                <w:szCs w:val="18"/>
              </w:rPr>
              <w:t>9.2%</w:t>
            </w:r>
          </w:p>
        </w:tc>
        <w:tc>
          <w:tcPr>
            <w:tcW w:w="898" w:type="dxa"/>
            <w:noWrap/>
            <w:vAlign w:val="center"/>
            <w:hideMark/>
          </w:tcPr>
          <w:p w14:paraId="5AC90BAA" w14:textId="353A4B59" w:rsidR="0006665C" w:rsidRPr="00753442" w:rsidRDefault="0006665C" w:rsidP="00451A70">
            <w:pPr>
              <w:jc w:val="center"/>
              <w:rPr>
                <w:sz w:val="18"/>
                <w:szCs w:val="18"/>
              </w:rPr>
            </w:pPr>
            <w:r w:rsidRPr="00753442">
              <w:rPr>
                <w:sz w:val="18"/>
                <w:szCs w:val="18"/>
              </w:rPr>
              <w:t>4000</w:t>
            </w:r>
          </w:p>
        </w:tc>
        <w:tc>
          <w:tcPr>
            <w:tcW w:w="815" w:type="dxa"/>
            <w:noWrap/>
            <w:vAlign w:val="center"/>
            <w:hideMark/>
          </w:tcPr>
          <w:p w14:paraId="6DD15EF5" w14:textId="1BBBCC1F" w:rsidR="0006665C" w:rsidRPr="00753442" w:rsidRDefault="0006665C" w:rsidP="00451A70">
            <w:pPr>
              <w:jc w:val="center"/>
              <w:rPr>
                <w:sz w:val="18"/>
                <w:szCs w:val="18"/>
              </w:rPr>
            </w:pPr>
            <w:r w:rsidRPr="00753442">
              <w:rPr>
                <w:sz w:val="18"/>
                <w:szCs w:val="18"/>
              </w:rPr>
              <w:t>0.8%</w:t>
            </w:r>
          </w:p>
        </w:tc>
      </w:tr>
      <w:tr w:rsidR="0006665C" w:rsidRPr="00475B92" w14:paraId="00DCE872" w14:textId="77777777" w:rsidTr="00451A70">
        <w:trPr>
          <w:trHeight w:val="245"/>
        </w:trPr>
        <w:tc>
          <w:tcPr>
            <w:tcW w:w="1274" w:type="dxa"/>
            <w:noWrap/>
            <w:vAlign w:val="center"/>
            <w:hideMark/>
          </w:tcPr>
          <w:p w14:paraId="2C058662" w14:textId="48BD6C3F" w:rsidR="0006665C" w:rsidRPr="00753442" w:rsidRDefault="00451A70" w:rsidP="00451A70">
            <w:pPr>
              <w:jc w:val="left"/>
              <w:rPr>
                <w:sz w:val="18"/>
                <w:szCs w:val="18"/>
              </w:rPr>
            </w:pPr>
            <w:r>
              <w:rPr>
                <w:sz w:val="18"/>
                <w:szCs w:val="18"/>
              </w:rPr>
              <w:t xml:space="preserve">   </w:t>
            </w:r>
            <w:r w:rsidR="0006665C" w:rsidRPr="00753442">
              <w:rPr>
                <w:sz w:val="18"/>
                <w:szCs w:val="18"/>
              </w:rPr>
              <w:t>Surkhrod</w:t>
            </w:r>
          </w:p>
        </w:tc>
        <w:tc>
          <w:tcPr>
            <w:tcW w:w="898" w:type="dxa"/>
            <w:noWrap/>
            <w:vAlign w:val="center"/>
            <w:hideMark/>
          </w:tcPr>
          <w:p w14:paraId="6B01386A" w14:textId="25F3CD0C" w:rsidR="0006665C" w:rsidRPr="00753442" w:rsidRDefault="0006665C" w:rsidP="00451A70">
            <w:pPr>
              <w:jc w:val="center"/>
              <w:rPr>
                <w:sz w:val="18"/>
                <w:szCs w:val="18"/>
              </w:rPr>
            </w:pPr>
            <w:r w:rsidRPr="00753442">
              <w:rPr>
                <w:sz w:val="18"/>
                <w:szCs w:val="18"/>
              </w:rPr>
              <w:t>5753</w:t>
            </w:r>
          </w:p>
        </w:tc>
        <w:tc>
          <w:tcPr>
            <w:tcW w:w="815" w:type="dxa"/>
            <w:noWrap/>
            <w:vAlign w:val="center"/>
            <w:hideMark/>
          </w:tcPr>
          <w:p w14:paraId="28DE1A0B" w14:textId="55EA4613" w:rsidR="0006665C" w:rsidRPr="00753442" w:rsidRDefault="0006665C" w:rsidP="00451A70">
            <w:pPr>
              <w:jc w:val="center"/>
              <w:rPr>
                <w:sz w:val="18"/>
                <w:szCs w:val="18"/>
              </w:rPr>
            </w:pPr>
            <w:r w:rsidRPr="00753442">
              <w:rPr>
                <w:sz w:val="18"/>
                <w:szCs w:val="18"/>
              </w:rPr>
              <w:t>15.3%</w:t>
            </w:r>
          </w:p>
        </w:tc>
        <w:tc>
          <w:tcPr>
            <w:tcW w:w="898" w:type="dxa"/>
            <w:noWrap/>
            <w:vAlign w:val="center"/>
            <w:hideMark/>
          </w:tcPr>
          <w:p w14:paraId="6B99E23F" w14:textId="6A6BF93C" w:rsidR="0006665C" w:rsidRPr="00753442" w:rsidRDefault="0006665C" w:rsidP="00451A70">
            <w:pPr>
              <w:jc w:val="center"/>
              <w:rPr>
                <w:sz w:val="18"/>
                <w:szCs w:val="18"/>
              </w:rPr>
            </w:pPr>
            <w:r w:rsidRPr="00753442">
              <w:rPr>
                <w:sz w:val="18"/>
                <w:szCs w:val="18"/>
              </w:rPr>
              <w:t>5016</w:t>
            </w:r>
          </w:p>
        </w:tc>
        <w:tc>
          <w:tcPr>
            <w:tcW w:w="815" w:type="dxa"/>
            <w:noWrap/>
            <w:vAlign w:val="center"/>
            <w:hideMark/>
          </w:tcPr>
          <w:p w14:paraId="09898B51" w14:textId="3F659AAF" w:rsidR="0006665C" w:rsidRPr="00753442" w:rsidRDefault="0006665C" w:rsidP="00451A70">
            <w:pPr>
              <w:jc w:val="center"/>
              <w:rPr>
                <w:sz w:val="18"/>
                <w:szCs w:val="18"/>
              </w:rPr>
            </w:pPr>
            <w:r w:rsidRPr="00753442">
              <w:rPr>
                <w:sz w:val="18"/>
                <w:szCs w:val="18"/>
              </w:rPr>
              <w:t>61.3%</w:t>
            </w:r>
          </w:p>
        </w:tc>
        <w:tc>
          <w:tcPr>
            <w:tcW w:w="898" w:type="dxa"/>
            <w:noWrap/>
            <w:vAlign w:val="center"/>
            <w:hideMark/>
          </w:tcPr>
          <w:p w14:paraId="7CB262C9" w14:textId="75FA1545" w:rsidR="0006665C" w:rsidRPr="00753442" w:rsidRDefault="0006665C" w:rsidP="00451A70">
            <w:pPr>
              <w:jc w:val="center"/>
              <w:rPr>
                <w:sz w:val="18"/>
                <w:szCs w:val="18"/>
              </w:rPr>
            </w:pPr>
            <w:r w:rsidRPr="00753442">
              <w:rPr>
                <w:sz w:val="18"/>
                <w:szCs w:val="18"/>
              </w:rPr>
              <w:t>5136</w:t>
            </w:r>
          </w:p>
        </w:tc>
        <w:tc>
          <w:tcPr>
            <w:tcW w:w="815" w:type="dxa"/>
            <w:noWrap/>
            <w:vAlign w:val="center"/>
            <w:hideMark/>
          </w:tcPr>
          <w:p w14:paraId="6284BA58" w14:textId="560CAF9C" w:rsidR="0006665C" w:rsidRPr="00753442" w:rsidRDefault="0006665C" w:rsidP="00451A70">
            <w:pPr>
              <w:jc w:val="center"/>
              <w:rPr>
                <w:sz w:val="18"/>
                <w:szCs w:val="18"/>
              </w:rPr>
            </w:pPr>
            <w:r w:rsidRPr="00753442">
              <w:rPr>
                <w:sz w:val="18"/>
                <w:szCs w:val="18"/>
              </w:rPr>
              <w:t>6.1%</w:t>
            </w:r>
          </w:p>
        </w:tc>
        <w:tc>
          <w:tcPr>
            <w:tcW w:w="898" w:type="dxa"/>
            <w:noWrap/>
            <w:vAlign w:val="center"/>
            <w:hideMark/>
          </w:tcPr>
          <w:p w14:paraId="18EDAF97" w14:textId="5804F5A1" w:rsidR="0006665C" w:rsidRPr="00753442" w:rsidRDefault="0006665C" w:rsidP="00451A70">
            <w:pPr>
              <w:jc w:val="center"/>
              <w:rPr>
                <w:sz w:val="18"/>
                <w:szCs w:val="18"/>
              </w:rPr>
            </w:pPr>
            <w:r w:rsidRPr="00753442">
              <w:rPr>
                <w:sz w:val="18"/>
                <w:szCs w:val="18"/>
              </w:rPr>
              <w:t>5806</w:t>
            </w:r>
          </w:p>
        </w:tc>
        <w:tc>
          <w:tcPr>
            <w:tcW w:w="815" w:type="dxa"/>
            <w:noWrap/>
            <w:vAlign w:val="center"/>
            <w:hideMark/>
          </w:tcPr>
          <w:p w14:paraId="717603BA" w14:textId="05806AA6" w:rsidR="0006665C" w:rsidRPr="00753442" w:rsidRDefault="0006665C" w:rsidP="00451A70">
            <w:pPr>
              <w:jc w:val="center"/>
              <w:rPr>
                <w:sz w:val="18"/>
                <w:szCs w:val="18"/>
              </w:rPr>
            </w:pPr>
            <w:r w:rsidRPr="00753442">
              <w:rPr>
                <w:sz w:val="18"/>
                <w:szCs w:val="18"/>
              </w:rPr>
              <w:t>15.3%</w:t>
            </w:r>
          </w:p>
        </w:tc>
        <w:tc>
          <w:tcPr>
            <w:tcW w:w="898" w:type="dxa"/>
            <w:noWrap/>
            <w:vAlign w:val="center"/>
            <w:hideMark/>
          </w:tcPr>
          <w:p w14:paraId="5779E889" w14:textId="3F3D27E9" w:rsidR="0006665C" w:rsidRPr="00753442" w:rsidRDefault="0006665C" w:rsidP="00451A70">
            <w:pPr>
              <w:jc w:val="center"/>
              <w:rPr>
                <w:sz w:val="18"/>
                <w:szCs w:val="18"/>
              </w:rPr>
            </w:pPr>
            <w:r w:rsidRPr="00753442">
              <w:rPr>
                <w:sz w:val="18"/>
                <w:szCs w:val="18"/>
              </w:rPr>
              <w:t>7213</w:t>
            </w:r>
          </w:p>
        </w:tc>
        <w:tc>
          <w:tcPr>
            <w:tcW w:w="815" w:type="dxa"/>
            <w:noWrap/>
            <w:vAlign w:val="center"/>
            <w:hideMark/>
          </w:tcPr>
          <w:p w14:paraId="7ADAB43F" w14:textId="76D0ABB1" w:rsidR="0006665C" w:rsidRPr="00753442" w:rsidRDefault="0006665C" w:rsidP="00451A70">
            <w:pPr>
              <w:jc w:val="center"/>
              <w:rPr>
                <w:sz w:val="18"/>
                <w:szCs w:val="18"/>
              </w:rPr>
            </w:pPr>
            <w:r w:rsidRPr="00753442">
              <w:rPr>
                <w:sz w:val="18"/>
                <w:szCs w:val="18"/>
              </w:rPr>
              <w:t>1.8%</w:t>
            </w:r>
          </w:p>
        </w:tc>
      </w:tr>
      <w:tr w:rsidR="0006665C" w:rsidRPr="00475B92" w14:paraId="67F3B9DC" w14:textId="77777777" w:rsidTr="00451A70">
        <w:trPr>
          <w:trHeight w:val="245"/>
        </w:trPr>
        <w:tc>
          <w:tcPr>
            <w:tcW w:w="1274" w:type="dxa"/>
            <w:noWrap/>
            <w:vAlign w:val="center"/>
            <w:hideMark/>
          </w:tcPr>
          <w:p w14:paraId="35CE019B" w14:textId="77777777" w:rsidR="0006665C" w:rsidRPr="00753442" w:rsidRDefault="0006665C" w:rsidP="00451A70">
            <w:pPr>
              <w:jc w:val="left"/>
              <w:rPr>
                <w:b/>
                <w:bCs/>
                <w:sz w:val="18"/>
                <w:szCs w:val="18"/>
              </w:rPr>
            </w:pPr>
            <w:r w:rsidRPr="00753442">
              <w:rPr>
                <w:b/>
                <w:bCs/>
                <w:sz w:val="18"/>
                <w:szCs w:val="18"/>
              </w:rPr>
              <w:t>Chamtala</w:t>
            </w:r>
          </w:p>
        </w:tc>
        <w:tc>
          <w:tcPr>
            <w:tcW w:w="898" w:type="dxa"/>
            <w:noWrap/>
            <w:vAlign w:val="center"/>
            <w:hideMark/>
          </w:tcPr>
          <w:p w14:paraId="3B2066E2" w14:textId="42FF3CFD" w:rsidR="0006665C" w:rsidRPr="00753442" w:rsidRDefault="0006665C" w:rsidP="00451A70">
            <w:pPr>
              <w:jc w:val="center"/>
              <w:rPr>
                <w:b/>
                <w:bCs/>
                <w:sz w:val="18"/>
                <w:szCs w:val="18"/>
              </w:rPr>
            </w:pPr>
            <w:r w:rsidRPr="00753442">
              <w:rPr>
                <w:b/>
                <w:bCs/>
                <w:sz w:val="18"/>
                <w:szCs w:val="18"/>
              </w:rPr>
              <w:t>1346</w:t>
            </w:r>
          </w:p>
        </w:tc>
        <w:tc>
          <w:tcPr>
            <w:tcW w:w="815" w:type="dxa"/>
            <w:noWrap/>
            <w:vAlign w:val="center"/>
            <w:hideMark/>
          </w:tcPr>
          <w:p w14:paraId="6517CDA8" w14:textId="51D73A96" w:rsidR="0006665C" w:rsidRPr="00753442" w:rsidRDefault="0006665C" w:rsidP="00451A70">
            <w:pPr>
              <w:jc w:val="center"/>
              <w:rPr>
                <w:b/>
                <w:bCs/>
                <w:sz w:val="18"/>
                <w:szCs w:val="18"/>
              </w:rPr>
            </w:pPr>
            <w:r w:rsidRPr="00753442">
              <w:rPr>
                <w:b/>
                <w:bCs/>
                <w:sz w:val="18"/>
                <w:szCs w:val="18"/>
              </w:rPr>
              <w:t>25.5%</w:t>
            </w:r>
          </w:p>
        </w:tc>
        <w:tc>
          <w:tcPr>
            <w:tcW w:w="898" w:type="dxa"/>
            <w:noWrap/>
            <w:vAlign w:val="center"/>
            <w:hideMark/>
          </w:tcPr>
          <w:p w14:paraId="5D3992E7" w14:textId="2599E102" w:rsidR="0006665C" w:rsidRPr="00753442" w:rsidRDefault="0006665C" w:rsidP="00451A70">
            <w:pPr>
              <w:jc w:val="center"/>
              <w:rPr>
                <w:b/>
                <w:bCs/>
                <w:sz w:val="18"/>
                <w:szCs w:val="18"/>
              </w:rPr>
            </w:pPr>
            <w:r w:rsidRPr="00753442">
              <w:rPr>
                <w:b/>
                <w:bCs/>
                <w:sz w:val="18"/>
                <w:szCs w:val="18"/>
              </w:rPr>
              <w:t>2245</w:t>
            </w:r>
          </w:p>
        </w:tc>
        <w:tc>
          <w:tcPr>
            <w:tcW w:w="815" w:type="dxa"/>
            <w:noWrap/>
            <w:vAlign w:val="center"/>
            <w:hideMark/>
          </w:tcPr>
          <w:p w14:paraId="04C57ED7" w14:textId="5D5A5E73" w:rsidR="0006665C" w:rsidRPr="00753442" w:rsidRDefault="0006665C" w:rsidP="00451A70">
            <w:pPr>
              <w:jc w:val="center"/>
              <w:rPr>
                <w:b/>
                <w:bCs/>
                <w:sz w:val="18"/>
                <w:szCs w:val="18"/>
              </w:rPr>
            </w:pPr>
            <w:r w:rsidRPr="00753442">
              <w:rPr>
                <w:b/>
                <w:bCs/>
                <w:sz w:val="18"/>
                <w:szCs w:val="18"/>
              </w:rPr>
              <w:t>58.8%</w:t>
            </w:r>
          </w:p>
        </w:tc>
        <w:tc>
          <w:tcPr>
            <w:tcW w:w="898" w:type="dxa"/>
            <w:noWrap/>
            <w:vAlign w:val="center"/>
            <w:hideMark/>
          </w:tcPr>
          <w:p w14:paraId="279FA632" w14:textId="11FFC8C5" w:rsidR="0006665C" w:rsidRPr="00753442" w:rsidRDefault="0006665C" w:rsidP="00451A70">
            <w:pPr>
              <w:jc w:val="center"/>
              <w:rPr>
                <w:b/>
                <w:bCs/>
                <w:sz w:val="18"/>
                <w:szCs w:val="18"/>
              </w:rPr>
            </w:pPr>
            <w:r w:rsidRPr="00753442">
              <w:rPr>
                <w:b/>
                <w:bCs/>
                <w:sz w:val="18"/>
                <w:szCs w:val="18"/>
              </w:rPr>
              <w:t>5000</w:t>
            </w:r>
          </w:p>
        </w:tc>
        <w:tc>
          <w:tcPr>
            <w:tcW w:w="815" w:type="dxa"/>
            <w:noWrap/>
            <w:vAlign w:val="center"/>
            <w:hideMark/>
          </w:tcPr>
          <w:p w14:paraId="32B78676" w14:textId="71B58DDE" w:rsidR="0006665C" w:rsidRPr="00753442" w:rsidRDefault="0006665C" w:rsidP="00451A70">
            <w:pPr>
              <w:jc w:val="center"/>
              <w:rPr>
                <w:b/>
                <w:bCs/>
                <w:sz w:val="18"/>
                <w:szCs w:val="18"/>
              </w:rPr>
            </w:pPr>
            <w:r w:rsidRPr="00753442">
              <w:rPr>
                <w:b/>
                <w:bCs/>
                <w:sz w:val="18"/>
                <w:szCs w:val="18"/>
              </w:rPr>
              <w:t>7.8%</w:t>
            </w:r>
          </w:p>
        </w:tc>
        <w:tc>
          <w:tcPr>
            <w:tcW w:w="898" w:type="dxa"/>
            <w:noWrap/>
            <w:vAlign w:val="center"/>
            <w:hideMark/>
          </w:tcPr>
          <w:p w14:paraId="45AE1C7B" w14:textId="5B5A35B8" w:rsidR="0006665C" w:rsidRPr="00753442" w:rsidRDefault="0006665C" w:rsidP="00451A70">
            <w:pPr>
              <w:jc w:val="center"/>
              <w:rPr>
                <w:b/>
                <w:bCs/>
                <w:sz w:val="18"/>
                <w:szCs w:val="18"/>
              </w:rPr>
            </w:pPr>
            <w:r w:rsidRPr="00753442">
              <w:rPr>
                <w:b/>
                <w:bCs/>
                <w:sz w:val="18"/>
                <w:szCs w:val="18"/>
              </w:rPr>
              <w:t>2500</w:t>
            </w:r>
          </w:p>
        </w:tc>
        <w:tc>
          <w:tcPr>
            <w:tcW w:w="815" w:type="dxa"/>
            <w:noWrap/>
            <w:vAlign w:val="center"/>
            <w:hideMark/>
          </w:tcPr>
          <w:p w14:paraId="43877CB1" w14:textId="58683203" w:rsidR="0006665C" w:rsidRPr="00753442" w:rsidRDefault="0006665C" w:rsidP="00451A70">
            <w:pPr>
              <w:jc w:val="center"/>
              <w:rPr>
                <w:b/>
                <w:bCs/>
                <w:sz w:val="18"/>
                <w:szCs w:val="18"/>
              </w:rPr>
            </w:pPr>
            <w:r w:rsidRPr="00753442">
              <w:rPr>
                <w:b/>
                <w:bCs/>
                <w:sz w:val="18"/>
                <w:szCs w:val="18"/>
              </w:rPr>
              <w:t>7.8%</w:t>
            </w:r>
          </w:p>
        </w:tc>
        <w:tc>
          <w:tcPr>
            <w:tcW w:w="898" w:type="dxa"/>
            <w:noWrap/>
            <w:vAlign w:val="center"/>
            <w:hideMark/>
          </w:tcPr>
          <w:p w14:paraId="3FC75C41" w14:textId="77777777" w:rsidR="0006665C" w:rsidRPr="00753442" w:rsidRDefault="0006665C" w:rsidP="00451A70">
            <w:pPr>
              <w:jc w:val="center"/>
              <w:rPr>
                <w:b/>
                <w:bCs/>
                <w:sz w:val="18"/>
                <w:szCs w:val="18"/>
              </w:rPr>
            </w:pPr>
          </w:p>
        </w:tc>
        <w:tc>
          <w:tcPr>
            <w:tcW w:w="815" w:type="dxa"/>
            <w:noWrap/>
            <w:vAlign w:val="center"/>
            <w:hideMark/>
          </w:tcPr>
          <w:p w14:paraId="5E2B0E2A" w14:textId="0C1D849D" w:rsidR="0006665C" w:rsidRPr="00753442" w:rsidRDefault="0006665C" w:rsidP="00451A70">
            <w:pPr>
              <w:jc w:val="center"/>
              <w:rPr>
                <w:b/>
                <w:bCs/>
                <w:sz w:val="18"/>
                <w:szCs w:val="18"/>
              </w:rPr>
            </w:pPr>
            <w:r w:rsidRPr="00753442">
              <w:rPr>
                <w:b/>
                <w:bCs/>
                <w:sz w:val="18"/>
                <w:szCs w:val="18"/>
              </w:rPr>
              <w:t>0.0%</w:t>
            </w:r>
          </w:p>
        </w:tc>
      </w:tr>
      <w:tr w:rsidR="0006665C" w:rsidRPr="00475B92" w14:paraId="48F504E6" w14:textId="77777777" w:rsidTr="00451A70">
        <w:trPr>
          <w:trHeight w:val="245"/>
        </w:trPr>
        <w:tc>
          <w:tcPr>
            <w:tcW w:w="1274" w:type="dxa"/>
            <w:noWrap/>
            <w:vAlign w:val="center"/>
            <w:hideMark/>
          </w:tcPr>
          <w:p w14:paraId="116A910F" w14:textId="77777777" w:rsidR="0006665C" w:rsidRPr="00753442" w:rsidRDefault="0006665C" w:rsidP="00451A70">
            <w:pPr>
              <w:jc w:val="left"/>
              <w:rPr>
                <w:b/>
                <w:bCs/>
                <w:sz w:val="18"/>
                <w:szCs w:val="18"/>
              </w:rPr>
            </w:pPr>
            <w:r w:rsidRPr="00753442">
              <w:rPr>
                <w:b/>
                <w:bCs/>
                <w:sz w:val="18"/>
                <w:szCs w:val="18"/>
              </w:rPr>
              <w:t>Kabul camp</w:t>
            </w:r>
          </w:p>
        </w:tc>
        <w:tc>
          <w:tcPr>
            <w:tcW w:w="898" w:type="dxa"/>
            <w:noWrap/>
            <w:vAlign w:val="center"/>
            <w:hideMark/>
          </w:tcPr>
          <w:p w14:paraId="404BA937" w14:textId="69EBECCA" w:rsidR="0006665C" w:rsidRPr="00753442" w:rsidRDefault="0006665C" w:rsidP="00451A70">
            <w:pPr>
              <w:jc w:val="center"/>
              <w:rPr>
                <w:b/>
                <w:bCs/>
                <w:sz w:val="18"/>
                <w:szCs w:val="18"/>
              </w:rPr>
            </w:pPr>
            <w:r w:rsidRPr="00753442">
              <w:rPr>
                <w:b/>
                <w:bCs/>
                <w:sz w:val="18"/>
                <w:szCs w:val="18"/>
              </w:rPr>
              <w:t>2492</w:t>
            </w:r>
          </w:p>
        </w:tc>
        <w:tc>
          <w:tcPr>
            <w:tcW w:w="815" w:type="dxa"/>
            <w:noWrap/>
            <w:vAlign w:val="center"/>
            <w:hideMark/>
          </w:tcPr>
          <w:p w14:paraId="31A788BC" w14:textId="4F782159" w:rsidR="0006665C" w:rsidRPr="00753442" w:rsidRDefault="0006665C" w:rsidP="00451A70">
            <w:pPr>
              <w:jc w:val="center"/>
              <w:rPr>
                <w:b/>
                <w:bCs/>
                <w:sz w:val="18"/>
                <w:szCs w:val="18"/>
              </w:rPr>
            </w:pPr>
            <w:r w:rsidRPr="00753442">
              <w:rPr>
                <w:b/>
                <w:bCs/>
                <w:sz w:val="18"/>
                <w:szCs w:val="18"/>
              </w:rPr>
              <w:t>18.3%</w:t>
            </w:r>
          </w:p>
        </w:tc>
        <w:tc>
          <w:tcPr>
            <w:tcW w:w="898" w:type="dxa"/>
            <w:noWrap/>
            <w:vAlign w:val="center"/>
            <w:hideMark/>
          </w:tcPr>
          <w:p w14:paraId="03356167" w14:textId="0BD5DD9E" w:rsidR="0006665C" w:rsidRPr="00753442" w:rsidRDefault="0006665C" w:rsidP="00451A70">
            <w:pPr>
              <w:jc w:val="center"/>
              <w:rPr>
                <w:b/>
                <w:bCs/>
                <w:sz w:val="18"/>
                <w:szCs w:val="18"/>
              </w:rPr>
            </w:pPr>
            <w:r w:rsidRPr="00753442">
              <w:rPr>
                <w:b/>
                <w:bCs/>
                <w:sz w:val="18"/>
                <w:szCs w:val="18"/>
              </w:rPr>
              <w:t>3077</w:t>
            </w:r>
          </w:p>
        </w:tc>
        <w:tc>
          <w:tcPr>
            <w:tcW w:w="815" w:type="dxa"/>
            <w:noWrap/>
            <w:vAlign w:val="center"/>
            <w:hideMark/>
          </w:tcPr>
          <w:p w14:paraId="31E65C60" w14:textId="6E90B55D" w:rsidR="0006665C" w:rsidRPr="00753442" w:rsidRDefault="0006665C" w:rsidP="00451A70">
            <w:pPr>
              <w:jc w:val="center"/>
              <w:rPr>
                <w:b/>
                <w:bCs/>
                <w:sz w:val="18"/>
                <w:szCs w:val="18"/>
              </w:rPr>
            </w:pPr>
            <w:r w:rsidRPr="00753442">
              <w:rPr>
                <w:b/>
                <w:bCs/>
                <w:sz w:val="18"/>
                <w:szCs w:val="18"/>
              </w:rPr>
              <w:t>36.7%</w:t>
            </w:r>
          </w:p>
        </w:tc>
        <w:tc>
          <w:tcPr>
            <w:tcW w:w="898" w:type="dxa"/>
            <w:noWrap/>
            <w:vAlign w:val="center"/>
            <w:hideMark/>
          </w:tcPr>
          <w:p w14:paraId="6D728BF1" w14:textId="2402483E" w:rsidR="0006665C" w:rsidRPr="00753442" w:rsidRDefault="0006665C" w:rsidP="00451A70">
            <w:pPr>
              <w:jc w:val="center"/>
              <w:rPr>
                <w:b/>
                <w:bCs/>
                <w:sz w:val="18"/>
                <w:szCs w:val="18"/>
              </w:rPr>
            </w:pPr>
            <w:r w:rsidRPr="00753442">
              <w:rPr>
                <w:b/>
                <w:bCs/>
                <w:sz w:val="18"/>
                <w:szCs w:val="18"/>
              </w:rPr>
              <w:t>6000</w:t>
            </w:r>
          </w:p>
        </w:tc>
        <w:tc>
          <w:tcPr>
            <w:tcW w:w="815" w:type="dxa"/>
            <w:noWrap/>
            <w:vAlign w:val="center"/>
            <w:hideMark/>
          </w:tcPr>
          <w:p w14:paraId="5E6F8ED1" w14:textId="6548A1CC" w:rsidR="0006665C" w:rsidRPr="00753442" w:rsidRDefault="0006665C" w:rsidP="00451A70">
            <w:pPr>
              <w:jc w:val="center"/>
              <w:rPr>
                <w:b/>
                <w:bCs/>
                <w:sz w:val="18"/>
                <w:szCs w:val="18"/>
              </w:rPr>
            </w:pPr>
            <w:r w:rsidRPr="00753442">
              <w:rPr>
                <w:b/>
                <w:bCs/>
                <w:sz w:val="18"/>
                <w:szCs w:val="18"/>
              </w:rPr>
              <w:t>10.8%</w:t>
            </w:r>
          </w:p>
        </w:tc>
        <w:tc>
          <w:tcPr>
            <w:tcW w:w="898" w:type="dxa"/>
            <w:noWrap/>
            <w:vAlign w:val="center"/>
            <w:hideMark/>
          </w:tcPr>
          <w:p w14:paraId="78C6C1E9" w14:textId="30BC5871" w:rsidR="0006665C" w:rsidRPr="00753442" w:rsidRDefault="0006665C" w:rsidP="00451A70">
            <w:pPr>
              <w:jc w:val="center"/>
              <w:rPr>
                <w:b/>
                <w:bCs/>
                <w:sz w:val="18"/>
                <w:szCs w:val="18"/>
              </w:rPr>
            </w:pPr>
            <w:r w:rsidRPr="00753442">
              <w:rPr>
                <w:b/>
                <w:bCs/>
                <w:sz w:val="18"/>
                <w:szCs w:val="18"/>
              </w:rPr>
              <w:t>4286</w:t>
            </w:r>
          </w:p>
        </w:tc>
        <w:tc>
          <w:tcPr>
            <w:tcW w:w="815" w:type="dxa"/>
            <w:noWrap/>
            <w:vAlign w:val="center"/>
            <w:hideMark/>
          </w:tcPr>
          <w:p w14:paraId="7C0A0D9D" w14:textId="563F8264" w:rsidR="0006665C" w:rsidRPr="00753442" w:rsidRDefault="0006665C" w:rsidP="00451A70">
            <w:pPr>
              <w:jc w:val="center"/>
              <w:rPr>
                <w:b/>
                <w:bCs/>
                <w:sz w:val="18"/>
                <w:szCs w:val="18"/>
              </w:rPr>
            </w:pPr>
            <w:r w:rsidRPr="00753442">
              <w:rPr>
                <w:b/>
                <w:bCs/>
                <w:sz w:val="18"/>
                <w:szCs w:val="18"/>
              </w:rPr>
              <w:t>23.3%</w:t>
            </w:r>
          </w:p>
        </w:tc>
        <w:tc>
          <w:tcPr>
            <w:tcW w:w="898" w:type="dxa"/>
            <w:noWrap/>
            <w:vAlign w:val="center"/>
            <w:hideMark/>
          </w:tcPr>
          <w:p w14:paraId="28B9378C" w14:textId="317454A5" w:rsidR="0006665C" w:rsidRPr="00753442" w:rsidRDefault="0006665C" w:rsidP="00451A70">
            <w:pPr>
              <w:jc w:val="center"/>
              <w:rPr>
                <w:b/>
                <w:bCs/>
                <w:sz w:val="18"/>
                <w:szCs w:val="18"/>
              </w:rPr>
            </w:pPr>
            <w:r w:rsidRPr="00753442">
              <w:rPr>
                <w:b/>
                <w:bCs/>
                <w:sz w:val="18"/>
                <w:szCs w:val="18"/>
              </w:rPr>
              <w:t>4731</w:t>
            </w:r>
          </w:p>
        </w:tc>
        <w:tc>
          <w:tcPr>
            <w:tcW w:w="815" w:type="dxa"/>
            <w:noWrap/>
            <w:vAlign w:val="center"/>
            <w:hideMark/>
          </w:tcPr>
          <w:p w14:paraId="6494C4E8" w14:textId="6B48647E" w:rsidR="0006665C" w:rsidRPr="00753442" w:rsidRDefault="0006665C" w:rsidP="00451A70">
            <w:pPr>
              <w:jc w:val="center"/>
              <w:rPr>
                <w:b/>
                <w:bCs/>
                <w:sz w:val="18"/>
                <w:szCs w:val="18"/>
              </w:rPr>
            </w:pPr>
            <w:r w:rsidRPr="00753442">
              <w:rPr>
                <w:b/>
                <w:bCs/>
                <w:sz w:val="18"/>
                <w:szCs w:val="18"/>
              </w:rPr>
              <w:t>10.8%</w:t>
            </w:r>
          </w:p>
        </w:tc>
      </w:tr>
      <w:tr w:rsidR="0006665C" w:rsidRPr="00475B92" w14:paraId="6895A49A" w14:textId="77777777" w:rsidTr="00451A70">
        <w:trPr>
          <w:trHeight w:val="245"/>
        </w:trPr>
        <w:tc>
          <w:tcPr>
            <w:tcW w:w="1274" w:type="dxa"/>
            <w:noWrap/>
            <w:vAlign w:val="center"/>
            <w:hideMark/>
          </w:tcPr>
          <w:p w14:paraId="733E30A5" w14:textId="3AF00756" w:rsidR="0006665C" w:rsidRPr="00753442" w:rsidRDefault="0006665C" w:rsidP="00451A70">
            <w:pPr>
              <w:jc w:val="left"/>
              <w:rPr>
                <w:b/>
                <w:bCs/>
                <w:sz w:val="18"/>
                <w:szCs w:val="18"/>
              </w:rPr>
            </w:pPr>
            <w:r w:rsidRPr="00753442">
              <w:rPr>
                <w:b/>
                <w:bCs/>
                <w:sz w:val="18"/>
                <w:szCs w:val="18"/>
              </w:rPr>
              <w:t>Bar Shegi (Kunar)</w:t>
            </w:r>
          </w:p>
        </w:tc>
        <w:tc>
          <w:tcPr>
            <w:tcW w:w="898" w:type="dxa"/>
            <w:noWrap/>
            <w:vAlign w:val="center"/>
            <w:hideMark/>
          </w:tcPr>
          <w:p w14:paraId="33DD207B" w14:textId="25F98FB4" w:rsidR="0006665C" w:rsidRPr="00753442" w:rsidRDefault="0006665C" w:rsidP="00451A70">
            <w:pPr>
              <w:jc w:val="center"/>
              <w:rPr>
                <w:b/>
                <w:bCs/>
                <w:sz w:val="18"/>
                <w:szCs w:val="18"/>
              </w:rPr>
            </w:pPr>
            <w:r w:rsidRPr="00753442">
              <w:rPr>
                <w:b/>
                <w:bCs/>
                <w:sz w:val="18"/>
                <w:szCs w:val="18"/>
              </w:rPr>
              <w:t>1700</w:t>
            </w:r>
          </w:p>
        </w:tc>
        <w:tc>
          <w:tcPr>
            <w:tcW w:w="815" w:type="dxa"/>
            <w:noWrap/>
            <w:vAlign w:val="center"/>
            <w:hideMark/>
          </w:tcPr>
          <w:p w14:paraId="4533CFF2" w14:textId="20416FAE" w:rsidR="0006665C" w:rsidRPr="00753442" w:rsidRDefault="0006665C" w:rsidP="00451A70">
            <w:pPr>
              <w:jc w:val="center"/>
              <w:rPr>
                <w:b/>
                <w:bCs/>
                <w:sz w:val="18"/>
                <w:szCs w:val="18"/>
              </w:rPr>
            </w:pPr>
            <w:r w:rsidRPr="00753442">
              <w:rPr>
                <w:b/>
                <w:bCs/>
                <w:sz w:val="18"/>
                <w:szCs w:val="18"/>
              </w:rPr>
              <w:t>40.0%</w:t>
            </w:r>
          </w:p>
        </w:tc>
        <w:tc>
          <w:tcPr>
            <w:tcW w:w="898" w:type="dxa"/>
            <w:noWrap/>
            <w:vAlign w:val="center"/>
            <w:hideMark/>
          </w:tcPr>
          <w:p w14:paraId="6FBD58C5" w14:textId="2F3EAC3A" w:rsidR="0006665C" w:rsidRPr="00753442" w:rsidRDefault="0006665C" w:rsidP="00451A70">
            <w:pPr>
              <w:jc w:val="center"/>
              <w:rPr>
                <w:b/>
                <w:bCs/>
                <w:sz w:val="18"/>
                <w:szCs w:val="18"/>
              </w:rPr>
            </w:pPr>
            <w:r w:rsidRPr="00753442">
              <w:rPr>
                <w:b/>
                <w:bCs/>
                <w:sz w:val="18"/>
                <w:szCs w:val="18"/>
              </w:rPr>
              <w:t>3200</w:t>
            </w:r>
          </w:p>
        </w:tc>
        <w:tc>
          <w:tcPr>
            <w:tcW w:w="815" w:type="dxa"/>
            <w:noWrap/>
            <w:vAlign w:val="center"/>
            <w:hideMark/>
          </w:tcPr>
          <w:p w14:paraId="4E035FF2" w14:textId="561D2567" w:rsidR="0006665C" w:rsidRPr="00753442" w:rsidRDefault="0006665C" w:rsidP="00451A70">
            <w:pPr>
              <w:jc w:val="center"/>
              <w:rPr>
                <w:b/>
                <w:bCs/>
                <w:sz w:val="18"/>
                <w:szCs w:val="18"/>
              </w:rPr>
            </w:pPr>
            <w:r w:rsidRPr="00753442">
              <w:rPr>
                <w:b/>
                <w:bCs/>
                <w:sz w:val="18"/>
                <w:szCs w:val="18"/>
              </w:rPr>
              <w:t>26.7%</w:t>
            </w:r>
          </w:p>
        </w:tc>
        <w:tc>
          <w:tcPr>
            <w:tcW w:w="898" w:type="dxa"/>
            <w:noWrap/>
            <w:vAlign w:val="center"/>
            <w:hideMark/>
          </w:tcPr>
          <w:p w14:paraId="7284B3C8" w14:textId="77777777" w:rsidR="0006665C" w:rsidRPr="00753442" w:rsidRDefault="0006665C" w:rsidP="00451A70">
            <w:pPr>
              <w:jc w:val="center"/>
              <w:rPr>
                <w:b/>
                <w:bCs/>
                <w:sz w:val="18"/>
                <w:szCs w:val="18"/>
              </w:rPr>
            </w:pPr>
          </w:p>
        </w:tc>
        <w:tc>
          <w:tcPr>
            <w:tcW w:w="815" w:type="dxa"/>
            <w:noWrap/>
            <w:vAlign w:val="center"/>
            <w:hideMark/>
          </w:tcPr>
          <w:p w14:paraId="67F1FCEF" w14:textId="62DC4DDB" w:rsidR="0006665C" w:rsidRPr="00753442" w:rsidRDefault="0006665C" w:rsidP="00451A70">
            <w:pPr>
              <w:jc w:val="center"/>
              <w:rPr>
                <w:b/>
                <w:bCs/>
                <w:sz w:val="18"/>
                <w:szCs w:val="18"/>
              </w:rPr>
            </w:pPr>
            <w:r w:rsidRPr="00753442">
              <w:rPr>
                <w:b/>
                <w:bCs/>
                <w:sz w:val="18"/>
                <w:szCs w:val="18"/>
              </w:rPr>
              <w:t>0.0%</w:t>
            </w:r>
          </w:p>
        </w:tc>
        <w:tc>
          <w:tcPr>
            <w:tcW w:w="898" w:type="dxa"/>
            <w:noWrap/>
            <w:vAlign w:val="center"/>
            <w:hideMark/>
          </w:tcPr>
          <w:p w14:paraId="498151A3" w14:textId="79BB6527" w:rsidR="0006665C" w:rsidRPr="00753442" w:rsidRDefault="0006665C" w:rsidP="00451A70">
            <w:pPr>
              <w:jc w:val="center"/>
              <w:rPr>
                <w:b/>
                <w:bCs/>
                <w:sz w:val="18"/>
                <w:szCs w:val="18"/>
              </w:rPr>
            </w:pPr>
            <w:r w:rsidRPr="00753442">
              <w:rPr>
                <w:b/>
                <w:bCs/>
                <w:sz w:val="18"/>
                <w:szCs w:val="18"/>
              </w:rPr>
              <w:t>3502</w:t>
            </w:r>
          </w:p>
        </w:tc>
        <w:tc>
          <w:tcPr>
            <w:tcW w:w="815" w:type="dxa"/>
            <w:noWrap/>
            <w:vAlign w:val="center"/>
            <w:hideMark/>
          </w:tcPr>
          <w:p w14:paraId="0125BAE0" w14:textId="05F050AD" w:rsidR="0006665C" w:rsidRPr="00753442" w:rsidRDefault="0006665C" w:rsidP="00451A70">
            <w:pPr>
              <w:jc w:val="center"/>
              <w:rPr>
                <w:b/>
                <w:bCs/>
                <w:sz w:val="18"/>
                <w:szCs w:val="18"/>
              </w:rPr>
            </w:pPr>
            <w:r w:rsidRPr="00753442">
              <w:rPr>
                <w:b/>
                <w:bCs/>
                <w:sz w:val="18"/>
                <w:szCs w:val="18"/>
              </w:rPr>
              <w:t>33.3%</w:t>
            </w:r>
          </w:p>
        </w:tc>
        <w:tc>
          <w:tcPr>
            <w:tcW w:w="898" w:type="dxa"/>
            <w:noWrap/>
            <w:vAlign w:val="center"/>
            <w:hideMark/>
          </w:tcPr>
          <w:p w14:paraId="1F7EE2FE" w14:textId="77777777" w:rsidR="0006665C" w:rsidRPr="00753442" w:rsidRDefault="0006665C" w:rsidP="00451A70">
            <w:pPr>
              <w:jc w:val="center"/>
              <w:rPr>
                <w:b/>
                <w:bCs/>
                <w:sz w:val="18"/>
                <w:szCs w:val="18"/>
              </w:rPr>
            </w:pPr>
          </w:p>
        </w:tc>
        <w:tc>
          <w:tcPr>
            <w:tcW w:w="815" w:type="dxa"/>
            <w:noWrap/>
            <w:vAlign w:val="center"/>
            <w:hideMark/>
          </w:tcPr>
          <w:p w14:paraId="61D6E5EA" w14:textId="78BFD066" w:rsidR="0006665C" w:rsidRPr="00753442" w:rsidRDefault="0006665C" w:rsidP="00451A70">
            <w:pPr>
              <w:jc w:val="center"/>
              <w:rPr>
                <w:b/>
                <w:bCs/>
                <w:sz w:val="18"/>
                <w:szCs w:val="18"/>
              </w:rPr>
            </w:pPr>
            <w:r w:rsidRPr="00753442">
              <w:rPr>
                <w:b/>
                <w:bCs/>
                <w:sz w:val="18"/>
                <w:szCs w:val="18"/>
              </w:rPr>
              <w:t>0.0%</w:t>
            </w:r>
          </w:p>
        </w:tc>
      </w:tr>
      <w:tr w:rsidR="0006665C" w:rsidRPr="00475B92" w14:paraId="038A2B1B" w14:textId="77777777" w:rsidTr="00451A70">
        <w:trPr>
          <w:trHeight w:val="245"/>
        </w:trPr>
        <w:tc>
          <w:tcPr>
            <w:tcW w:w="1274" w:type="dxa"/>
            <w:noWrap/>
            <w:vAlign w:val="center"/>
            <w:hideMark/>
          </w:tcPr>
          <w:p w14:paraId="33F91122" w14:textId="46EF17D9" w:rsidR="0006665C" w:rsidRPr="00753442" w:rsidRDefault="0006665C" w:rsidP="00451A70">
            <w:pPr>
              <w:jc w:val="left"/>
              <w:rPr>
                <w:b/>
                <w:bCs/>
                <w:sz w:val="18"/>
                <w:szCs w:val="18"/>
              </w:rPr>
            </w:pPr>
            <w:r w:rsidRPr="00753442">
              <w:rPr>
                <w:b/>
                <w:bCs/>
                <w:sz w:val="18"/>
                <w:szCs w:val="18"/>
              </w:rPr>
              <w:t>Harchar (Mehtarlam)</w:t>
            </w:r>
          </w:p>
        </w:tc>
        <w:tc>
          <w:tcPr>
            <w:tcW w:w="898" w:type="dxa"/>
            <w:noWrap/>
            <w:vAlign w:val="center"/>
            <w:hideMark/>
          </w:tcPr>
          <w:p w14:paraId="75131A05" w14:textId="45E8E4B5" w:rsidR="0006665C" w:rsidRPr="00753442" w:rsidRDefault="0006665C" w:rsidP="00451A70">
            <w:pPr>
              <w:jc w:val="center"/>
              <w:rPr>
                <w:b/>
                <w:bCs/>
                <w:sz w:val="18"/>
                <w:szCs w:val="18"/>
              </w:rPr>
            </w:pPr>
            <w:r w:rsidRPr="00753442">
              <w:rPr>
                <w:b/>
                <w:bCs/>
                <w:sz w:val="18"/>
                <w:szCs w:val="18"/>
              </w:rPr>
              <w:t>4000</w:t>
            </w:r>
          </w:p>
        </w:tc>
        <w:tc>
          <w:tcPr>
            <w:tcW w:w="815" w:type="dxa"/>
            <w:noWrap/>
            <w:vAlign w:val="center"/>
            <w:hideMark/>
          </w:tcPr>
          <w:p w14:paraId="78DA1565" w14:textId="58D965DD" w:rsidR="0006665C" w:rsidRPr="00753442" w:rsidRDefault="0006665C" w:rsidP="00451A70">
            <w:pPr>
              <w:jc w:val="center"/>
              <w:rPr>
                <w:b/>
                <w:bCs/>
                <w:sz w:val="18"/>
                <w:szCs w:val="18"/>
              </w:rPr>
            </w:pPr>
            <w:r w:rsidRPr="00753442">
              <w:rPr>
                <w:b/>
                <w:bCs/>
                <w:sz w:val="18"/>
                <w:szCs w:val="18"/>
              </w:rPr>
              <w:t>4.8%</w:t>
            </w:r>
          </w:p>
        </w:tc>
        <w:tc>
          <w:tcPr>
            <w:tcW w:w="898" w:type="dxa"/>
            <w:noWrap/>
            <w:vAlign w:val="center"/>
            <w:hideMark/>
          </w:tcPr>
          <w:p w14:paraId="6173ACF7" w14:textId="6AD3226D" w:rsidR="0006665C" w:rsidRPr="00753442" w:rsidRDefault="0006665C" w:rsidP="00451A70">
            <w:pPr>
              <w:jc w:val="center"/>
              <w:rPr>
                <w:b/>
                <w:bCs/>
                <w:sz w:val="18"/>
                <w:szCs w:val="18"/>
              </w:rPr>
            </w:pPr>
            <w:r w:rsidRPr="00753442">
              <w:rPr>
                <w:b/>
                <w:bCs/>
                <w:sz w:val="18"/>
                <w:szCs w:val="18"/>
              </w:rPr>
              <w:t>5480</w:t>
            </w:r>
          </w:p>
        </w:tc>
        <w:tc>
          <w:tcPr>
            <w:tcW w:w="815" w:type="dxa"/>
            <w:noWrap/>
            <w:vAlign w:val="center"/>
            <w:hideMark/>
          </w:tcPr>
          <w:p w14:paraId="2DBF6183" w14:textId="681E3905" w:rsidR="0006665C" w:rsidRPr="00753442" w:rsidRDefault="0006665C" w:rsidP="00451A70">
            <w:pPr>
              <w:jc w:val="center"/>
              <w:rPr>
                <w:b/>
                <w:bCs/>
                <w:sz w:val="18"/>
                <w:szCs w:val="18"/>
              </w:rPr>
            </w:pPr>
            <w:r w:rsidRPr="00753442">
              <w:rPr>
                <w:b/>
                <w:bCs/>
                <w:sz w:val="18"/>
                <w:szCs w:val="18"/>
              </w:rPr>
              <w:t>71.4%</w:t>
            </w:r>
          </w:p>
        </w:tc>
        <w:tc>
          <w:tcPr>
            <w:tcW w:w="898" w:type="dxa"/>
            <w:noWrap/>
            <w:vAlign w:val="center"/>
            <w:hideMark/>
          </w:tcPr>
          <w:p w14:paraId="220CBA01" w14:textId="0EC6C4BA" w:rsidR="0006665C" w:rsidRPr="00753442" w:rsidRDefault="0006665C" w:rsidP="00451A70">
            <w:pPr>
              <w:jc w:val="center"/>
              <w:rPr>
                <w:b/>
                <w:bCs/>
                <w:sz w:val="18"/>
                <w:szCs w:val="18"/>
              </w:rPr>
            </w:pPr>
            <w:r w:rsidRPr="00753442">
              <w:rPr>
                <w:b/>
                <w:bCs/>
                <w:sz w:val="18"/>
                <w:szCs w:val="18"/>
              </w:rPr>
              <w:t>8000</w:t>
            </w:r>
          </w:p>
        </w:tc>
        <w:tc>
          <w:tcPr>
            <w:tcW w:w="815" w:type="dxa"/>
            <w:noWrap/>
            <w:vAlign w:val="center"/>
            <w:hideMark/>
          </w:tcPr>
          <w:p w14:paraId="5D4882EA" w14:textId="1428401C" w:rsidR="0006665C" w:rsidRPr="00753442" w:rsidRDefault="0006665C" w:rsidP="00451A70">
            <w:pPr>
              <w:jc w:val="center"/>
              <w:rPr>
                <w:b/>
                <w:bCs/>
                <w:sz w:val="18"/>
                <w:szCs w:val="18"/>
              </w:rPr>
            </w:pPr>
            <w:r w:rsidRPr="00753442">
              <w:rPr>
                <w:b/>
                <w:bCs/>
                <w:sz w:val="18"/>
                <w:szCs w:val="18"/>
              </w:rPr>
              <w:t>4.8%</w:t>
            </w:r>
          </w:p>
        </w:tc>
        <w:tc>
          <w:tcPr>
            <w:tcW w:w="898" w:type="dxa"/>
            <w:noWrap/>
            <w:vAlign w:val="center"/>
            <w:hideMark/>
          </w:tcPr>
          <w:p w14:paraId="41D340F2" w14:textId="4073FCB2" w:rsidR="0006665C" w:rsidRPr="00753442" w:rsidRDefault="0006665C" w:rsidP="00451A70">
            <w:pPr>
              <w:jc w:val="center"/>
              <w:rPr>
                <w:b/>
                <w:bCs/>
                <w:sz w:val="18"/>
                <w:szCs w:val="18"/>
              </w:rPr>
            </w:pPr>
            <w:r w:rsidRPr="00753442">
              <w:rPr>
                <w:b/>
                <w:bCs/>
                <w:sz w:val="18"/>
                <w:szCs w:val="18"/>
              </w:rPr>
              <w:t>5345</w:t>
            </w:r>
          </w:p>
        </w:tc>
        <w:tc>
          <w:tcPr>
            <w:tcW w:w="815" w:type="dxa"/>
            <w:noWrap/>
            <w:vAlign w:val="center"/>
            <w:hideMark/>
          </w:tcPr>
          <w:p w14:paraId="606F5A01" w14:textId="179663DD" w:rsidR="0006665C" w:rsidRPr="00753442" w:rsidRDefault="0006665C" w:rsidP="00451A70">
            <w:pPr>
              <w:jc w:val="center"/>
              <w:rPr>
                <w:b/>
                <w:bCs/>
                <w:sz w:val="18"/>
                <w:szCs w:val="18"/>
              </w:rPr>
            </w:pPr>
            <w:r w:rsidRPr="00753442">
              <w:rPr>
                <w:b/>
                <w:bCs/>
                <w:sz w:val="18"/>
                <w:szCs w:val="18"/>
              </w:rPr>
              <w:t>19.0%</w:t>
            </w:r>
          </w:p>
        </w:tc>
        <w:tc>
          <w:tcPr>
            <w:tcW w:w="898" w:type="dxa"/>
            <w:noWrap/>
            <w:vAlign w:val="center"/>
            <w:hideMark/>
          </w:tcPr>
          <w:p w14:paraId="2ADCCD41" w14:textId="77777777" w:rsidR="0006665C" w:rsidRPr="00753442" w:rsidRDefault="0006665C" w:rsidP="00451A70">
            <w:pPr>
              <w:jc w:val="center"/>
              <w:rPr>
                <w:b/>
                <w:bCs/>
                <w:sz w:val="18"/>
                <w:szCs w:val="18"/>
              </w:rPr>
            </w:pPr>
          </w:p>
        </w:tc>
        <w:tc>
          <w:tcPr>
            <w:tcW w:w="815" w:type="dxa"/>
            <w:noWrap/>
            <w:vAlign w:val="center"/>
            <w:hideMark/>
          </w:tcPr>
          <w:p w14:paraId="73BAF7DF" w14:textId="33A613FE" w:rsidR="0006665C" w:rsidRPr="00753442" w:rsidRDefault="0006665C" w:rsidP="00451A70">
            <w:pPr>
              <w:jc w:val="center"/>
              <w:rPr>
                <w:b/>
                <w:bCs/>
                <w:sz w:val="18"/>
                <w:szCs w:val="18"/>
              </w:rPr>
            </w:pPr>
            <w:r w:rsidRPr="00753442">
              <w:rPr>
                <w:b/>
                <w:bCs/>
                <w:sz w:val="18"/>
                <w:szCs w:val="18"/>
              </w:rPr>
              <w:t>0.0%</w:t>
            </w:r>
          </w:p>
        </w:tc>
      </w:tr>
      <w:tr w:rsidR="0006665C" w:rsidRPr="00475B92" w14:paraId="4CFF6C99" w14:textId="77777777" w:rsidTr="00451A70">
        <w:trPr>
          <w:trHeight w:val="245"/>
        </w:trPr>
        <w:tc>
          <w:tcPr>
            <w:tcW w:w="1274" w:type="dxa"/>
            <w:noWrap/>
            <w:vAlign w:val="center"/>
            <w:hideMark/>
          </w:tcPr>
          <w:p w14:paraId="7EB429F3" w14:textId="55288E03" w:rsidR="0006665C" w:rsidRPr="00753442" w:rsidRDefault="0006665C" w:rsidP="00451A70">
            <w:pPr>
              <w:jc w:val="left"/>
              <w:rPr>
                <w:b/>
                <w:bCs/>
                <w:sz w:val="18"/>
                <w:szCs w:val="18"/>
              </w:rPr>
            </w:pPr>
            <w:r w:rsidRPr="00753442">
              <w:rPr>
                <w:b/>
                <w:bCs/>
                <w:sz w:val="18"/>
                <w:szCs w:val="18"/>
              </w:rPr>
              <w:t>Average for all markets</w:t>
            </w:r>
          </w:p>
        </w:tc>
        <w:tc>
          <w:tcPr>
            <w:tcW w:w="898" w:type="dxa"/>
            <w:noWrap/>
            <w:vAlign w:val="center"/>
            <w:hideMark/>
          </w:tcPr>
          <w:p w14:paraId="60BA53D3" w14:textId="4D72156F" w:rsidR="0006665C" w:rsidRPr="00753442" w:rsidRDefault="0006665C" w:rsidP="00451A70">
            <w:pPr>
              <w:jc w:val="center"/>
              <w:rPr>
                <w:b/>
                <w:bCs/>
                <w:sz w:val="18"/>
                <w:szCs w:val="18"/>
              </w:rPr>
            </w:pPr>
            <w:r w:rsidRPr="00753442">
              <w:rPr>
                <w:b/>
                <w:bCs/>
                <w:sz w:val="18"/>
                <w:szCs w:val="18"/>
              </w:rPr>
              <w:t>3945</w:t>
            </w:r>
          </w:p>
        </w:tc>
        <w:tc>
          <w:tcPr>
            <w:tcW w:w="815" w:type="dxa"/>
            <w:noWrap/>
            <w:vAlign w:val="center"/>
            <w:hideMark/>
          </w:tcPr>
          <w:p w14:paraId="672EABED" w14:textId="0630DDDC" w:rsidR="0006665C" w:rsidRPr="00753442" w:rsidRDefault="0006665C" w:rsidP="00451A70">
            <w:pPr>
              <w:jc w:val="center"/>
              <w:rPr>
                <w:b/>
                <w:bCs/>
                <w:sz w:val="18"/>
                <w:szCs w:val="18"/>
              </w:rPr>
            </w:pPr>
            <w:r w:rsidRPr="00753442">
              <w:rPr>
                <w:b/>
                <w:bCs/>
                <w:sz w:val="18"/>
                <w:szCs w:val="18"/>
              </w:rPr>
              <w:t>14.1%</w:t>
            </w:r>
          </w:p>
        </w:tc>
        <w:tc>
          <w:tcPr>
            <w:tcW w:w="898" w:type="dxa"/>
            <w:noWrap/>
            <w:vAlign w:val="center"/>
            <w:hideMark/>
          </w:tcPr>
          <w:p w14:paraId="0486A0FB" w14:textId="13CFA7E9" w:rsidR="0006665C" w:rsidRPr="00753442" w:rsidRDefault="0006665C" w:rsidP="00451A70">
            <w:pPr>
              <w:jc w:val="center"/>
              <w:rPr>
                <w:b/>
                <w:bCs/>
                <w:sz w:val="18"/>
                <w:szCs w:val="18"/>
              </w:rPr>
            </w:pPr>
            <w:r w:rsidRPr="00753442">
              <w:rPr>
                <w:b/>
                <w:bCs/>
                <w:sz w:val="18"/>
                <w:szCs w:val="18"/>
              </w:rPr>
              <w:t>4931</w:t>
            </w:r>
          </w:p>
        </w:tc>
        <w:tc>
          <w:tcPr>
            <w:tcW w:w="815" w:type="dxa"/>
            <w:noWrap/>
            <w:vAlign w:val="center"/>
            <w:hideMark/>
          </w:tcPr>
          <w:p w14:paraId="3BDA76A7" w14:textId="05B07333" w:rsidR="0006665C" w:rsidRPr="00753442" w:rsidRDefault="0006665C" w:rsidP="00451A70">
            <w:pPr>
              <w:jc w:val="center"/>
              <w:rPr>
                <w:b/>
                <w:bCs/>
                <w:sz w:val="18"/>
                <w:szCs w:val="18"/>
              </w:rPr>
            </w:pPr>
            <w:r w:rsidRPr="00753442">
              <w:rPr>
                <w:b/>
                <w:bCs/>
                <w:sz w:val="18"/>
                <w:szCs w:val="18"/>
              </w:rPr>
              <w:t>57.8%</w:t>
            </w:r>
          </w:p>
        </w:tc>
        <w:tc>
          <w:tcPr>
            <w:tcW w:w="898" w:type="dxa"/>
            <w:noWrap/>
            <w:vAlign w:val="center"/>
            <w:hideMark/>
          </w:tcPr>
          <w:p w14:paraId="4706CAB8" w14:textId="00CF9115" w:rsidR="0006665C" w:rsidRPr="00753442" w:rsidRDefault="0006665C" w:rsidP="00451A70">
            <w:pPr>
              <w:jc w:val="center"/>
              <w:rPr>
                <w:b/>
                <w:bCs/>
                <w:sz w:val="18"/>
                <w:szCs w:val="18"/>
              </w:rPr>
            </w:pPr>
            <w:r w:rsidRPr="00753442">
              <w:rPr>
                <w:b/>
                <w:bCs/>
                <w:sz w:val="18"/>
                <w:szCs w:val="18"/>
              </w:rPr>
              <w:t>6739</w:t>
            </w:r>
          </w:p>
        </w:tc>
        <w:tc>
          <w:tcPr>
            <w:tcW w:w="815" w:type="dxa"/>
            <w:noWrap/>
            <w:vAlign w:val="center"/>
            <w:hideMark/>
          </w:tcPr>
          <w:p w14:paraId="6A9BDDD1" w14:textId="586DBE3C" w:rsidR="0006665C" w:rsidRPr="00753442" w:rsidRDefault="0006665C" w:rsidP="00451A70">
            <w:pPr>
              <w:jc w:val="center"/>
              <w:rPr>
                <w:b/>
                <w:bCs/>
                <w:sz w:val="18"/>
                <w:szCs w:val="18"/>
              </w:rPr>
            </w:pPr>
            <w:r w:rsidRPr="00753442">
              <w:rPr>
                <w:b/>
                <w:bCs/>
                <w:sz w:val="18"/>
                <w:szCs w:val="18"/>
              </w:rPr>
              <w:t>7.4%</w:t>
            </w:r>
          </w:p>
        </w:tc>
        <w:tc>
          <w:tcPr>
            <w:tcW w:w="898" w:type="dxa"/>
            <w:noWrap/>
            <w:vAlign w:val="center"/>
            <w:hideMark/>
          </w:tcPr>
          <w:p w14:paraId="7899871E" w14:textId="64A550F0" w:rsidR="0006665C" w:rsidRPr="00753442" w:rsidRDefault="0006665C" w:rsidP="00451A70">
            <w:pPr>
              <w:jc w:val="center"/>
              <w:rPr>
                <w:b/>
                <w:bCs/>
                <w:sz w:val="18"/>
                <w:szCs w:val="18"/>
              </w:rPr>
            </w:pPr>
            <w:r w:rsidRPr="00753442">
              <w:rPr>
                <w:b/>
                <w:bCs/>
                <w:sz w:val="18"/>
                <w:szCs w:val="18"/>
              </w:rPr>
              <w:t>6226</w:t>
            </w:r>
          </w:p>
        </w:tc>
        <w:tc>
          <w:tcPr>
            <w:tcW w:w="815" w:type="dxa"/>
            <w:noWrap/>
            <w:vAlign w:val="center"/>
            <w:hideMark/>
          </w:tcPr>
          <w:p w14:paraId="34E19531" w14:textId="7F96F996" w:rsidR="0006665C" w:rsidRPr="00753442" w:rsidRDefault="0006665C" w:rsidP="00451A70">
            <w:pPr>
              <w:jc w:val="center"/>
              <w:rPr>
                <w:b/>
                <w:bCs/>
                <w:sz w:val="18"/>
                <w:szCs w:val="18"/>
              </w:rPr>
            </w:pPr>
            <w:r w:rsidRPr="00753442">
              <w:rPr>
                <w:b/>
                <w:bCs/>
                <w:sz w:val="18"/>
                <w:szCs w:val="18"/>
              </w:rPr>
              <w:t>17.5%</w:t>
            </w:r>
          </w:p>
        </w:tc>
        <w:tc>
          <w:tcPr>
            <w:tcW w:w="898" w:type="dxa"/>
            <w:noWrap/>
            <w:vAlign w:val="center"/>
            <w:hideMark/>
          </w:tcPr>
          <w:p w14:paraId="4D25460D" w14:textId="25DB8D88" w:rsidR="0006665C" w:rsidRPr="00753442" w:rsidRDefault="0006665C" w:rsidP="00451A70">
            <w:pPr>
              <w:jc w:val="center"/>
              <w:rPr>
                <w:b/>
                <w:bCs/>
                <w:sz w:val="18"/>
                <w:szCs w:val="18"/>
              </w:rPr>
            </w:pPr>
            <w:r w:rsidRPr="00753442">
              <w:rPr>
                <w:b/>
                <w:bCs/>
                <w:sz w:val="18"/>
                <w:szCs w:val="18"/>
              </w:rPr>
              <w:t>7406</w:t>
            </w:r>
          </w:p>
        </w:tc>
        <w:tc>
          <w:tcPr>
            <w:tcW w:w="815" w:type="dxa"/>
            <w:noWrap/>
            <w:vAlign w:val="center"/>
            <w:hideMark/>
          </w:tcPr>
          <w:p w14:paraId="29FD44FA" w14:textId="6817CA0C" w:rsidR="0006665C" w:rsidRPr="00753442" w:rsidRDefault="0006665C" w:rsidP="00451A70">
            <w:pPr>
              <w:jc w:val="center"/>
              <w:rPr>
                <w:b/>
                <w:bCs/>
                <w:sz w:val="18"/>
                <w:szCs w:val="18"/>
              </w:rPr>
            </w:pPr>
            <w:r w:rsidRPr="00753442">
              <w:rPr>
                <w:b/>
                <w:bCs/>
                <w:sz w:val="18"/>
                <w:szCs w:val="18"/>
              </w:rPr>
              <w:t>3.3%</w:t>
            </w:r>
          </w:p>
        </w:tc>
      </w:tr>
      <w:tr w:rsidR="00113347" w:rsidRPr="00475B92" w14:paraId="79294F3F" w14:textId="77777777" w:rsidTr="0098014A">
        <w:trPr>
          <w:trHeight w:val="245"/>
        </w:trPr>
        <w:tc>
          <w:tcPr>
            <w:tcW w:w="9839" w:type="dxa"/>
            <w:gridSpan w:val="11"/>
            <w:noWrap/>
            <w:vAlign w:val="center"/>
          </w:tcPr>
          <w:p w14:paraId="53DA4F84" w14:textId="297F836C" w:rsidR="00113347" w:rsidRPr="004D78C0" w:rsidRDefault="00113347" w:rsidP="004D78C0">
            <w:pPr>
              <w:jc w:val="left"/>
              <w:rPr>
                <w:bCs/>
                <w:i/>
                <w:sz w:val="18"/>
                <w:szCs w:val="18"/>
              </w:rPr>
            </w:pPr>
            <w:r w:rsidRPr="004D78C0">
              <w:rPr>
                <w:bCs/>
                <w:i/>
                <w:sz w:val="18"/>
                <w:szCs w:val="18"/>
              </w:rPr>
              <w:t xml:space="preserve">* Since wealthier households were excluded from the survey, the market share of housing of fair and excellent quality </w:t>
            </w:r>
            <w:r>
              <w:rPr>
                <w:bCs/>
                <w:i/>
                <w:sz w:val="18"/>
                <w:szCs w:val="18"/>
              </w:rPr>
              <w:t xml:space="preserve">should not be taken to </w:t>
            </w:r>
            <w:r w:rsidRPr="004D78C0">
              <w:rPr>
                <w:bCs/>
                <w:i/>
                <w:sz w:val="18"/>
                <w:szCs w:val="18"/>
              </w:rPr>
              <w:t>refle</w:t>
            </w:r>
            <w:r>
              <w:rPr>
                <w:bCs/>
                <w:i/>
                <w:sz w:val="18"/>
                <w:szCs w:val="18"/>
              </w:rPr>
              <w:t>c</w:t>
            </w:r>
            <w:r w:rsidRPr="004D78C0">
              <w:rPr>
                <w:bCs/>
                <w:i/>
                <w:sz w:val="18"/>
                <w:szCs w:val="18"/>
              </w:rPr>
              <w:t>t the true proportions</w:t>
            </w:r>
          </w:p>
        </w:tc>
      </w:tr>
    </w:tbl>
    <w:p w14:paraId="544302F1" w14:textId="72D390F1" w:rsidR="001A3CC0" w:rsidRDefault="001A3CC0" w:rsidP="00753442"/>
    <w:p w14:paraId="52BB4578" w14:textId="77777777" w:rsidR="006133E5" w:rsidRPr="008F1BCE" w:rsidRDefault="006133E5" w:rsidP="00A24338"/>
    <w:p w14:paraId="12F19BE1" w14:textId="7D48B0A1" w:rsidR="00840457" w:rsidRDefault="00D96584" w:rsidP="00840457">
      <w:pPr>
        <w:rPr>
          <w:rFonts w:cstheme="minorHAnsi"/>
        </w:rPr>
      </w:pPr>
      <w:r>
        <w:t xml:space="preserve">While the median rental prices for all markets assessed is 4500 AFN, </w:t>
      </w:r>
      <w:r>
        <w:rPr>
          <w:rFonts w:cstheme="minorHAnsi"/>
        </w:rPr>
        <w:t>r</w:t>
      </w:r>
      <w:r w:rsidR="00AC3606">
        <w:rPr>
          <w:rFonts w:cstheme="minorHAnsi"/>
        </w:rPr>
        <w:t>ental</w:t>
      </w:r>
      <w:r w:rsidR="00840457">
        <w:rPr>
          <w:rFonts w:cstheme="minorHAnsi"/>
        </w:rPr>
        <w:t xml:space="preserve"> market</w:t>
      </w:r>
      <w:r>
        <w:rPr>
          <w:rFonts w:cstheme="minorHAnsi"/>
        </w:rPr>
        <w:t>s</w:t>
      </w:r>
      <w:r w:rsidR="00840457">
        <w:rPr>
          <w:rFonts w:cstheme="minorHAnsi"/>
        </w:rPr>
        <w:t xml:space="preserve"> </w:t>
      </w:r>
      <w:r w:rsidR="00C855AC">
        <w:rPr>
          <w:rFonts w:cstheme="minorHAnsi"/>
        </w:rPr>
        <w:t>appear to be</w:t>
      </w:r>
      <w:r w:rsidR="00840457">
        <w:rPr>
          <w:rFonts w:cstheme="minorHAnsi"/>
        </w:rPr>
        <w:t xml:space="preserve"> divided into </w:t>
      </w:r>
      <w:r w:rsidR="00C855AC">
        <w:rPr>
          <w:rFonts w:cstheme="minorHAnsi"/>
        </w:rPr>
        <w:t xml:space="preserve">distinctive </w:t>
      </w:r>
      <w:r w:rsidR="00840457">
        <w:rPr>
          <w:rFonts w:cstheme="minorHAnsi"/>
        </w:rPr>
        <w:t>segments</w:t>
      </w:r>
      <w:r w:rsidR="00AC3606">
        <w:rPr>
          <w:rFonts w:cstheme="minorHAnsi"/>
        </w:rPr>
        <w:t xml:space="preserve"> </w:t>
      </w:r>
      <w:r>
        <w:rPr>
          <w:rFonts w:cstheme="minorHAnsi"/>
        </w:rPr>
        <w:t xml:space="preserve">not only by location, but also </w:t>
      </w:r>
      <w:r w:rsidR="00AC3606">
        <w:rPr>
          <w:rFonts w:cstheme="minorHAnsi"/>
        </w:rPr>
        <w:t>by quality and size of units</w:t>
      </w:r>
      <w:r>
        <w:rPr>
          <w:rFonts w:cstheme="minorHAnsi"/>
        </w:rPr>
        <w:t>. M</w:t>
      </w:r>
      <w:r w:rsidR="00840457">
        <w:rPr>
          <w:rFonts w:cstheme="minorHAnsi"/>
        </w:rPr>
        <w:t xml:space="preserve">arkets for housing units of </w:t>
      </w:r>
      <w:r>
        <w:rPr>
          <w:rFonts w:cstheme="minorHAnsi"/>
        </w:rPr>
        <w:t xml:space="preserve">similar </w:t>
      </w:r>
      <w:r w:rsidR="00840457">
        <w:rPr>
          <w:rFonts w:cstheme="minorHAnsi"/>
        </w:rPr>
        <w:t>quality and size operate as separate</w:t>
      </w:r>
      <w:r>
        <w:rPr>
          <w:rFonts w:cstheme="minorHAnsi"/>
        </w:rPr>
        <w:t>, and somewhat independent</w:t>
      </w:r>
      <w:r w:rsidR="00840457">
        <w:rPr>
          <w:rFonts w:cstheme="minorHAnsi"/>
        </w:rPr>
        <w:t xml:space="preserve"> markets. </w:t>
      </w:r>
      <w:r>
        <w:rPr>
          <w:rFonts w:cstheme="minorHAnsi"/>
        </w:rPr>
        <w:t>Consequently, m</w:t>
      </w:r>
      <w:r w:rsidR="00840457">
        <w:rPr>
          <w:rFonts w:cstheme="minorHAnsi"/>
        </w:rPr>
        <w:t xml:space="preserve">arket segments </w:t>
      </w:r>
      <w:r>
        <w:rPr>
          <w:rFonts w:cstheme="minorHAnsi"/>
        </w:rPr>
        <w:t xml:space="preserve">should be </w:t>
      </w:r>
      <w:r w:rsidR="00840457">
        <w:rPr>
          <w:rFonts w:cstheme="minorHAnsi"/>
        </w:rPr>
        <w:t xml:space="preserve">monitored separately as well, so that a deficit in one of the segments could be detected. </w:t>
      </w:r>
    </w:p>
    <w:p w14:paraId="59F5D410" w14:textId="77777777" w:rsidR="00840457" w:rsidRDefault="00840457" w:rsidP="00DF11D4">
      <w:pPr>
        <w:rPr>
          <w:rFonts w:cstheme="minorHAnsi"/>
        </w:rPr>
      </w:pPr>
    </w:p>
    <w:p w14:paraId="36212762" w14:textId="77777777" w:rsidR="0005269F" w:rsidRPr="0005269F" w:rsidRDefault="0005269F" w:rsidP="00DF11D4">
      <w:pPr>
        <w:pBdr>
          <w:top w:val="single" w:sz="4" w:space="1" w:color="auto"/>
          <w:left w:val="single" w:sz="4" w:space="4" w:color="auto"/>
          <w:bottom w:val="single" w:sz="4" w:space="1" w:color="auto"/>
          <w:right w:val="single" w:sz="4" w:space="4" w:color="auto"/>
        </w:pBdr>
        <w:rPr>
          <w:rFonts w:ascii="5" w:hAnsi="5"/>
          <w:sz w:val="8"/>
        </w:rPr>
      </w:pPr>
    </w:p>
    <w:p w14:paraId="0ACC3F3A" w14:textId="144BAC64" w:rsidR="001A3CC0" w:rsidRDefault="00CA1256" w:rsidP="00DF11D4">
      <w:pPr>
        <w:pBdr>
          <w:top w:val="single" w:sz="4" w:space="1" w:color="auto"/>
          <w:left w:val="single" w:sz="4" w:space="4" w:color="auto"/>
          <w:bottom w:val="single" w:sz="4" w:space="1" w:color="auto"/>
          <w:right w:val="single" w:sz="4" w:space="4" w:color="auto"/>
        </w:pBdr>
        <w:rPr>
          <w:rFonts w:cstheme="minorHAnsi"/>
        </w:rPr>
      </w:pPr>
      <w:r>
        <w:t xml:space="preserve">Rental prices vary significantly between the markets analyzed and within each local market. Prices depend on the quality and size of housing, location, type of settlement and access to public services and economic opportunities that the settlements offer. These factors will need to be considered before deciding to standardize rental assistance. </w:t>
      </w:r>
      <w:r w:rsidR="005413D3">
        <w:rPr>
          <w:rFonts w:cstheme="minorHAnsi"/>
        </w:rPr>
        <w:t>T</w:t>
      </w:r>
      <w:r w:rsidR="00EF6B67" w:rsidRPr="005B1455">
        <w:rPr>
          <w:rFonts w:cstheme="minorHAnsi"/>
        </w:rPr>
        <w:t>he amount of monthly assistance would need to be adjusted to the local average rental price at</w:t>
      </w:r>
      <w:r w:rsidR="005413D3">
        <w:rPr>
          <w:rFonts w:cstheme="minorHAnsi"/>
        </w:rPr>
        <w:t xml:space="preserve"> least at</w:t>
      </w:r>
      <w:r w:rsidR="00EF6B67" w:rsidRPr="005B1455">
        <w:rPr>
          <w:rFonts w:cstheme="minorHAnsi"/>
        </w:rPr>
        <w:t xml:space="preserve"> the level of district</w:t>
      </w:r>
      <w:r w:rsidR="00EF6B67" w:rsidRPr="0068076D">
        <w:rPr>
          <w:rFonts w:cstheme="minorHAnsi"/>
        </w:rPr>
        <w:t xml:space="preserve">. </w:t>
      </w:r>
    </w:p>
    <w:p w14:paraId="21F26C53" w14:textId="681FA134" w:rsidR="0005269F" w:rsidRPr="00DF11D4" w:rsidRDefault="0005269F" w:rsidP="00DF11D4">
      <w:pPr>
        <w:pBdr>
          <w:top w:val="single" w:sz="4" w:space="1" w:color="auto"/>
          <w:left w:val="single" w:sz="4" w:space="4" w:color="auto"/>
          <w:bottom w:val="single" w:sz="4" w:space="1" w:color="auto"/>
          <w:right w:val="single" w:sz="4" w:space="4" w:color="auto"/>
        </w:pBdr>
        <w:rPr>
          <w:rFonts w:cstheme="minorHAnsi"/>
          <w:sz w:val="10"/>
        </w:rPr>
      </w:pPr>
    </w:p>
    <w:p w14:paraId="207838A9" w14:textId="77777777" w:rsidR="00DF11D4" w:rsidRPr="00DF11D4" w:rsidRDefault="00DF11D4" w:rsidP="00DF11D4">
      <w:pPr>
        <w:rPr>
          <w:rFonts w:cstheme="minorHAnsi"/>
          <w:sz w:val="14"/>
        </w:rPr>
      </w:pPr>
    </w:p>
    <w:p w14:paraId="2F88C506" w14:textId="1B66ED1F" w:rsidR="00DF11D4" w:rsidRDefault="00DF11D4" w:rsidP="00DF11D4">
      <w:pPr>
        <w:rPr>
          <w:rFonts w:cstheme="minorHAnsi"/>
          <w:color w:val="000000" w:themeColor="text1"/>
          <w:sz w:val="6"/>
        </w:rPr>
      </w:pPr>
    </w:p>
    <w:p w14:paraId="56A38465" w14:textId="78E40177" w:rsidR="00DF11D4" w:rsidRDefault="00DF11D4" w:rsidP="00DF11D4">
      <w:pPr>
        <w:rPr>
          <w:rFonts w:cstheme="minorHAnsi"/>
          <w:color w:val="000000" w:themeColor="text1"/>
          <w:sz w:val="6"/>
        </w:rPr>
      </w:pPr>
    </w:p>
    <w:p w14:paraId="5E1933DB" w14:textId="77777777" w:rsidR="00DF11D4" w:rsidRPr="00DF11D4" w:rsidRDefault="00DF11D4" w:rsidP="00DF11D4">
      <w:pPr>
        <w:pBdr>
          <w:top w:val="single" w:sz="4" w:space="1" w:color="auto"/>
          <w:left w:val="single" w:sz="4" w:space="4" w:color="auto"/>
          <w:bottom w:val="single" w:sz="4" w:space="1" w:color="auto"/>
          <w:right w:val="single" w:sz="4" w:space="4" w:color="auto"/>
        </w:pBdr>
        <w:rPr>
          <w:rFonts w:cstheme="minorHAnsi"/>
          <w:color w:val="000000" w:themeColor="text1"/>
          <w:sz w:val="10"/>
        </w:rPr>
      </w:pPr>
    </w:p>
    <w:p w14:paraId="48356041" w14:textId="42AE3089" w:rsidR="0005269F" w:rsidRDefault="0005269F" w:rsidP="00DF11D4">
      <w:pPr>
        <w:pBdr>
          <w:top w:val="single" w:sz="4" w:space="1" w:color="auto"/>
          <w:left w:val="single" w:sz="4" w:space="4" w:color="auto"/>
          <w:bottom w:val="single" w:sz="4" w:space="1" w:color="auto"/>
          <w:right w:val="single" w:sz="4" w:space="4" w:color="auto"/>
        </w:pBdr>
        <w:rPr>
          <w:rFonts w:cstheme="minorHAnsi"/>
          <w:color w:val="000000" w:themeColor="text1"/>
        </w:rPr>
      </w:pPr>
      <w:r w:rsidRPr="00701AF6">
        <w:rPr>
          <w:rFonts w:cstheme="minorHAnsi"/>
          <w:color w:val="000000" w:themeColor="text1"/>
        </w:rPr>
        <w:t xml:space="preserve">A CfR intervention relies on the available housing stock. Access to adequate housing remains a critical component of the program as the assistance should be sufficient to cover the cost of units that meet minimum technical / construction standards. </w:t>
      </w:r>
      <w:r w:rsidRPr="005757C0">
        <w:rPr>
          <w:rFonts w:cstheme="minorHAnsi"/>
          <w:color w:val="000000" w:themeColor="text1"/>
        </w:rPr>
        <w:t>Since the rent varies very significantly across local markets, an assistance of 5,000 AFN per month should be sufficient for accessing housing that meets minimum standards in most of the areas in metropolitan Jalalabad; in other, rural markets a lower a</w:t>
      </w:r>
      <w:r>
        <w:rPr>
          <w:rFonts w:cstheme="minorHAnsi"/>
          <w:color w:val="000000" w:themeColor="text1"/>
        </w:rPr>
        <w:t xml:space="preserve">ssistance would be sufficient – and preferable (in order to minimize the impact of the programme), if extending the CfR from 3 to 12 months. </w:t>
      </w:r>
    </w:p>
    <w:p w14:paraId="05356D51" w14:textId="77777777" w:rsidR="0005269F" w:rsidRPr="0005269F" w:rsidRDefault="0005269F" w:rsidP="00DF11D4">
      <w:pPr>
        <w:pBdr>
          <w:top w:val="single" w:sz="4" w:space="1" w:color="auto"/>
          <w:left w:val="single" w:sz="4" w:space="4" w:color="auto"/>
          <w:bottom w:val="single" w:sz="4" w:space="1" w:color="auto"/>
          <w:right w:val="single" w:sz="4" w:space="4" w:color="auto"/>
        </w:pBdr>
        <w:rPr>
          <w:sz w:val="10"/>
        </w:rPr>
      </w:pPr>
    </w:p>
    <w:p w14:paraId="7EF28694" w14:textId="77777777" w:rsidR="00F10E51" w:rsidRDefault="00F10E51" w:rsidP="00F10E51">
      <w:pPr>
        <w:rPr>
          <w:rFonts w:cstheme="minorHAnsi"/>
        </w:rPr>
      </w:pPr>
      <w:bookmarkStart w:id="17" w:name="_Toc522906945"/>
      <w:bookmarkStart w:id="18" w:name="_Toc522906935"/>
    </w:p>
    <w:p w14:paraId="3E5CA735" w14:textId="0911F4A8" w:rsidR="00F10E51" w:rsidRDefault="00F10E51" w:rsidP="00F10E51">
      <w:pPr>
        <w:rPr>
          <w:rFonts w:eastAsia="AGaramondPro-Regular" w:cstheme="minorHAnsi"/>
        </w:rPr>
      </w:pPr>
      <w:r w:rsidRPr="0068076D">
        <w:rPr>
          <w:rFonts w:cstheme="minorHAnsi"/>
        </w:rPr>
        <w:t xml:space="preserve">This market assessment did not </w:t>
      </w:r>
      <w:r>
        <w:rPr>
          <w:rFonts w:cstheme="minorHAnsi"/>
        </w:rPr>
        <w:t xml:space="preserve">directly </w:t>
      </w:r>
      <w:r w:rsidRPr="0068076D">
        <w:rPr>
          <w:rFonts w:cstheme="minorHAnsi"/>
        </w:rPr>
        <w:t xml:space="preserve">assess </w:t>
      </w:r>
      <w:r>
        <w:rPr>
          <w:rFonts w:cstheme="minorHAnsi"/>
        </w:rPr>
        <w:t xml:space="preserve">what was the share of rent </w:t>
      </w:r>
      <w:r w:rsidRPr="005B1455">
        <w:rPr>
          <w:rFonts w:cstheme="minorHAnsi"/>
        </w:rPr>
        <w:t>in household expenses</w:t>
      </w:r>
      <w:r>
        <w:rPr>
          <w:rFonts w:cstheme="minorHAnsi"/>
        </w:rPr>
        <w:t>, however it is possible to make an estimate based on average income. A</w:t>
      </w:r>
      <w:r w:rsidRPr="005B1455">
        <w:rPr>
          <w:rFonts w:cstheme="minorHAnsi"/>
        </w:rPr>
        <w:t xml:space="preserve">verage </w:t>
      </w:r>
      <w:r>
        <w:rPr>
          <w:rFonts w:cstheme="minorHAnsi"/>
        </w:rPr>
        <w:t xml:space="preserve">estimated </w:t>
      </w:r>
      <w:r w:rsidRPr="005B1455">
        <w:rPr>
          <w:rFonts w:cstheme="minorHAnsi"/>
        </w:rPr>
        <w:t xml:space="preserve">monthly income in Afghanistan is </w:t>
      </w:r>
      <w:r w:rsidRPr="005B1455">
        <w:rPr>
          <w:rFonts w:eastAsia="AGaramondPro-Regular" w:cstheme="minorHAnsi"/>
        </w:rPr>
        <w:t>11,214 AFN (</w:t>
      </w:r>
      <w:r w:rsidRPr="006B5182">
        <w:rPr>
          <w:rFonts w:eastAsia="AGaramondPro-Regular" w:cstheme="minorHAnsi"/>
        </w:rPr>
        <w:t>$174 USD</w:t>
      </w:r>
      <w:r w:rsidRPr="0068076D">
        <w:rPr>
          <w:rFonts w:eastAsia="AGaramondPro-Regular" w:cstheme="minorHAnsi"/>
        </w:rPr>
        <w:t>); 15,</w:t>
      </w:r>
      <w:r w:rsidRPr="00607ED4">
        <w:rPr>
          <w:rFonts w:eastAsia="AGaramondPro-Regular" w:cstheme="minorHAnsi"/>
        </w:rPr>
        <w:t xml:space="preserve">890 AFN or </w:t>
      </w:r>
      <w:r w:rsidRPr="006B5182">
        <w:rPr>
          <w:rFonts w:eastAsia="AGaramondPro-Regular" w:cstheme="minorHAnsi"/>
        </w:rPr>
        <w:t>$246 USD</w:t>
      </w:r>
      <w:r w:rsidRPr="0068076D">
        <w:rPr>
          <w:rFonts w:eastAsia="AGaramondPro-Regular" w:cstheme="minorHAnsi"/>
        </w:rPr>
        <w:t xml:space="preserve"> for urban areas and 9,672 AFN or </w:t>
      </w:r>
      <w:r w:rsidRPr="006B5182">
        <w:rPr>
          <w:rFonts w:eastAsia="AGaramondPro-Regular" w:cstheme="minorHAnsi"/>
        </w:rPr>
        <w:t>$150 USD</w:t>
      </w:r>
      <w:r w:rsidRPr="0068076D">
        <w:rPr>
          <w:rFonts w:eastAsia="AGaramondPro-Regular" w:cstheme="minorHAnsi"/>
        </w:rPr>
        <w:t xml:space="preserve"> for rural areas. When contrasted with ass</w:t>
      </w:r>
      <w:r w:rsidRPr="00607ED4">
        <w:rPr>
          <w:rFonts w:eastAsia="AGaramondPro-Regular" w:cstheme="minorHAnsi"/>
        </w:rPr>
        <w:t>essme</w:t>
      </w:r>
      <w:r w:rsidRPr="005B1455">
        <w:rPr>
          <w:rFonts w:eastAsia="AGaramondPro-Regular" w:cstheme="minorHAnsi"/>
        </w:rPr>
        <w:t xml:space="preserve">nt data on the </w:t>
      </w:r>
      <w:r>
        <w:rPr>
          <w:rFonts w:eastAsia="AGaramondPro-Regular" w:cstheme="minorHAnsi"/>
        </w:rPr>
        <w:t>size</w:t>
      </w:r>
      <w:r w:rsidRPr="005B1455">
        <w:rPr>
          <w:rFonts w:eastAsia="AGaramondPro-Regular" w:cstheme="minorHAnsi"/>
        </w:rPr>
        <w:t xml:space="preserve"> </w:t>
      </w:r>
      <w:r>
        <w:rPr>
          <w:rFonts w:eastAsia="AGaramondPro-Regular" w:cstheme="minorHAnsi"/>
        </w:rPr>
        <w:t>of rent,</w:t>
      </w:r>
      <w:r w:rsidRPr="0068076D">
        <w:rPr>
          <w:rFonts w:eastAsia="AGaramondPro-Regular" w:cstheme="minorHAnsi"/>
        </w:rPr>
        <w:t xml:space="preserve"> in urban settings </w:t>
      </w:r>
      <w:r>
        <w:rPr>
          <w:rFonts w:eastAsia="AGaramondPro-Regular" w:cstheme="minorHAnsi"/>
        </w:rPr>
        <w:t xml:space="preserve">the </w:t>
      </w:r>
      <w:r w:rsidRPr="0068076D">
        <w:rPr>
          <w:rFonts w:eastAsia="AGaramondPro-Regular" w:cstheme="minorHAnsi"/>
        </w:rPr>
        <w:t>average rent (6,</w:t>
      </w:r>
      <w:r w:rsidRPr="00607ED4">
        <w:rPr>
          <w:rFonts w:eastAsia="AGaramondPro-Regular" w:cstheme="minorHAnsi"/>
        </w:rPr>
        <w:t>532 AFN) would represent 41% of the household income, and in rural settings rent (3</w:t>
      </w:r>
      <w:r w:rsidRPr="005B1455">
        <w:rPr>
          <w:rFonts w:eastAsia="AGaramondPro-Regular" w:cstheme="minorHAnsi"/>
        </w:rPr>
        <w:t xml:space="preserve">,612 AFN) would represent 37% of monthly income. </w:t>
      </w:r>
    </w:p>
    <w:p w14:paraId="78A2E7FA" w14:textId="7E67B2D5" w:rsidR="003852B2" w:rsidRDefault="003852B2" w:rsidP="009D0F2C">
      <w:pPr>
        <w:pStyle w:val="Heading3"/>
      </w:pPr>
      <w:bookmarkStart w:id="19" w:name="_Toc523407958"/>
      <w:r>
        <w:t>Additional housing and utility expenses</w:t>
      </w:r>
      <w:bookmarkEnd w:id="17"/>
      <w:bookmarkEnd w:id="19"/>
      <w:r>
        <w:t xml:space="preserve"> </w:t>
      </w:r>
    </w:p>
    <w:p w14:paraId="1CAA4F85" w14:textId="6A0C6763" w:rsidR="003852B2" w:rsidRPr="00D96584" w:rsidRDefault="003852B2" w:rsidP="003852B2">
      <w:r>
        <w:t xml:space="preserve">Most of the household’s living </w:t>
      </w:r>
      <w:r w:rsidRPr="00D96584">
        <w:t>expenses are not limited to rent: in most of the cases households have to pay various utilities: electricity, water, cooking fue</w:t>
      </w:r>
      <w:r w:rsidRPr="00DF11D4">
        <w:t>l (</w:t>
      </w:r>
      <w:r w:rsidRPr="00DF11D4">
        <w:fldChar w:fldCharType="begin"/>
      </w:r>
      <w:r w:rsidRPr="00DF11D4">
        <w:instrText xml:space="preserve"> REF _Ref523227237 \h  \* MERGEFORMAT </w:instrText>
      </w:r>
      <w:r w:rsidRPr="00DF11D4">
        <w:fldChar w:fldCharType="separate"/>
      </w:r>
      <w:r w:rsidR="00D96584" w:rsidRPr="00DF11D4">
        <w:t xml:space="preserve">Table </w:t>
      </w:r>
      <w:r w:rsidR="00D96584" w:rsidRPr="00DF11D4">
        <w:rPr>
          <w:noProof/>
        </w:rPr>
        <w:t>4</w:t>
      </w:r>
      <w:r w:rsidRPr="00DF11D4">
        <w:fldChar w:fldCharType="end"/>
      </w:r>
      <w:r w:rsidRPr="00DF11D4">
        <w:t>).</w:t>
      </w:r>
      <w:r w:rsidRPr="00D96584">
        <w:t xml:space="preserve"> While the prices vary across markets (with some markets lacking supply of certain utilities altogether), these expenses add 50 to 80% of the rent price to the housing expenses. </w:t>
      </w:r>
    </w:p>
    <w:p w14:paraId="4CB951CB" w14:textId="28DE8FC2" w:rsidR="003852B2" w:rsidRDefault="003852B2" w:rsidP="003852B2"/>
    <w:p w14:paraId="7D3DBF2B" w14:textId="77777777" w:rsidR="00DF11D4" w:rsidRPr="00DF11D4" w:rsidRDefault="00DF11D4" w:rsidP="003852B2">
      <w:pPr>
        <w:rPr>
          <w:sz w:val="10"/>
        </w:rPr>
      </w:pPr>
    </w:p>
    <w:p w14:paraId="7C83C696" w14:textId="2B422C3A" w:rsidR="003852B2" w:rsidRDefault="003852B2" w:rsidP="003852B2">
      <w:pPr>
        <w:pStyle w:val="Caption"/>
        <w:keepNext/>
      </w:pPr>
      <w:bookmarkStart w:id="20" w:name="_Ref523227237"/>
      <w:bookmarkStart w:id="21" w:name="_Ref523227233"/>
      <w:r w:rsidRPr="00DF11D4">
        <w:t xml:space="preserve">Table </w:t>
      </w:r>
      <w:r w:rsidRPr="00DF11D4">
        <w:fldChar w:fldCharType="begin"/>
      </w:r>
      <w:r w:rsidRPr="00DF11D4">
        <w:rPr>
          <w:noProof/>
        </w:rPr>
        <w:instrText xml:space="preserve"> SEQ Table \* ARABIC </w:instrText>
      </w:r>
      <w:r w:rsidRPr="00DF11D4">
        <w:fldChar w:fldCharType="separate"/>
      </w:r>
      <w:r w:rsidR="00D96584" w:rsidRPr="00DF11D4">
        <w:rPr>
          <w:noProof/>
        </w:rPr>
        <w:t>4</w:t>
      </w:r>
      <w:r w:rsidRPr="00DF11D4">
        <w:fldChar w:fldCharType="end"/>
      </w:r>
      <w:bookmarkEnd w:id="20"/>
      <w:r w:rsidRPr="00D96584">
        <w:t xml:space="preserve"> Expenses for utilities</w:t>
      </w:r>
      <w:bookmarkEnd w:id="21"/>
    </w:p>
    <w:tbl>
      <w:tblPr>
        <w:tblW w:w="9975" w:type="dxa"/>
        <w:tblLayout w:type="fixed"/>
        <w:tblLook w:val="04A0" w:firstRow="1" w:lastRow="0" w:firstColumn="1" w:lastColumn="0" w:noHBand="0" w:noVBand="1"/>
      </w:tblPr>
      <w:tblGrid>
        <w:gridCol w:w="2220"/>
        <w:gridCol w:w="1292"/>
        <w:gridCol w:w="1293"/>
        <w:gridCol w:w="1292"/>
        <w:gridCol w:w="1293"/>
        <w:gridCol w:w="1292"/>
        <w:gridCol w:w="1293"/>
      </w:tblGrid>
      <w:tr w:rsidR="003852B2" w14:paraId="7FAB10EE" w14:textId="77777777" w:rsidTr="008A4179">
        <w:trPr>
          <w:trHeight w:val="900"/>
        </w:trPr>
        <w:tc>
          <w:tcPr>
            <w:tcW w:w="22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66673A2" w14:textId="77777777" w:rsidR="003852B2" w:rsidRDefault="003852B2" w:rsidP="008A4179"/>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7FD4CC7" w14:textId="7779007F" w:rsidR="003852B2" w:rsidRDefault="002640E5"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Monthly av</w:t>
            </w:r>
            <w:r w:rsidR="003852B2">
              <w:rPr>
                <w:rFonts w:eastAsia="Times New Roman" w:cs="Times New Roman"/>
                <w:b/>
                <w:bCs/>
                <w:color w:val="000000"/>
                <w:sz w:val="18"/>
                <w:szCs w:val="18"/>
                <w:lang w:val="en-GB" w:eastAsia="en-GB"/>
              </w:rPr>
              <w:t>erage Rent</w:t>
            </w:r>
          </w:p>
          <w:p w14:paraId="036EF389" w14:textId="6BFB668E" w:rsidR="002640E5" w:rsidRDefault="002640E5"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in AFN</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DCB4309" w14:textId="38D1B746" w:rsidR="003852B2" w:rsidRDefault="002640E5"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 xml:space="preserve">Monthly average </w:t>
            </w:r>
            <w:r w:rsidR="003852B2">
              <w:rPr>
                <w:rFonts w:eastAsia="Times New Roman" w:cs="Times New Roman"/>
                <w:b/>
                <w:bCs/>
                <w:color w:val="000000"/>
                <w:sz w:val="18"/>
                <w:szCs w:val="18"/>
                <w:lang w:val="en-GB" w:eastAsia="en-GB"/>
              </w:rPr>
              <w:t>cost of electricity</w:t>
            </w:r>
          </w:p>
          <w:p w14:paraId="52816E8A" w14:textId="7B99EDB1" w:rsidR="002640E5" w:rsidRDefault="002640E5"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in AFN</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D0C4D8E" w14:textId="737F13B6" w:rsidR="002640E5" w:rsidRDefault="002640E5"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 xml:space="preserve">Monthly average </w:t>
            </w:r>
            <w:r w:rsidR="003852B2">
              <w:rPr>
                <w:rFonts w:eastAsia="Times New Roman" w:cs="Times New Roman"/>
                <w:b/>
                <w:bCs/>
                <w:color w:val="000000"/>
                <w:sz w:val="18"/>
                <w:szCs w:val="18"/>
                <w:lang w:val="en-GB" w:eastAsia="en-GB"/>
              </w:rPr>
              <w:t>cost of water</w:t>
            </w:r>
            <w:r>
              <w:rPr>
                <w:rFonts w:eastAsia="Times New Roman" w:cs="Times New Roman"/>
                <w:b/>
                <w:bCs/>
                <w:color w:val="000000"/>
                <w:sz w:val="18"/>
                <w:szCs w:val="18"/>
                <w:lang w:val="en-GB" w:eastAsia="en-GB"/>
              </w:rPr>
              <w:t xml:space="preserve"> </w:t>
            </w:r>
          </w:p>
          <w:p w14:paraId="4A7A7E92" w14:textId="2227D468" w:rsidR="003852B2" w:rsidRDefault="002640E5"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in AFN</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44A6B8" w14:textId="6C3A26CB" w:rsidR="003852B2" w:rsidRDefault="002640E5"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 xml:space="preserve">Monthly average </w:t>
            </w:r>
            <w:r w:rsidR="003852B2">
              <w:rPr>
                <w:rFonts w:eastAsia="Times New Roman" w:cs="Times New Roman"/>
                <w:b/>
                <w:bCs/>
                <w:color w:val="000000"/>
                <w:sz w:val="18"/>
                <w:szCs w:val="18"/>
                <w:lang w:val="en-GB" w:eastAsia="en-GB"/>
              </w:rPr>
              <w:t>of cooking</w:t>
            </w:r>
          </w:p>
          <w:p w14:paraId="58568A18" w14:textId="2916459A" w:rsidR="002640E5" w:rsidRDefault="002640E5"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in AFN</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F99C1AE" w14:textId="48D32EF3" w:rsidR="003852B2" w:rsidRDefault="002640E5"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 xml:space="preserve">Monthly average </w:t>
            </w:r>
            <w:r w:rsidR="003852B2">
              <w:rPr>
                <w:rFonts w:eastAsia="Times New Roman" w:cs="Times New Roman"/>
                <w:b/>
                <w:bCs/>
                <w:color w:val="000000"/>
                <w:sz w:val="18"/>
                <w:szCs w:val="18"/>
                <w:lang w:val="en-GB" w:eastAsia="en-GB"/>
              </w:rPr>
              <w:t>total housing cost</w:t>
            </w:r>
          </w:p>
          <w:p w14:paraId="0AFC9982" w14:textId="110F6A40" w:rsidR="002640E5" w:rsidRDefault="002640E5"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in AFN</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799BB17" w14:textId="0083B411"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Utilities</w:t>
            </w:r>
            <w:r w:rsidR="00D96584">
              <w:rPr>
                <w:rFonts w:eastAsia="Times New Roman" w:cs="Times New Roman"/>
                <w:color w:val="000000"/>
                <w:sz w:val="18"/>
                <w:szCs w:val="18"/>
                <w:lang w:val="en-GB" w:eastAsia="en-GB"/>
              </w:rPr>
              <w:t xml:space="preserve"> as</w:t>
            </w:r>
            <w:r>
              <w:rPr>
                <w:rFonts w:eastAsia="Times New Roman" w:cs="Times New Roman"/>
                <w:color w:val="000000"/>
                <w:sz w:val="18"/>
                <w:szCs w:val="18"/>
                <w:lang w:val="en-GB" w:eastAsia="en-GB"/>
              </w:rPr>
              <w:t xml:space="preserve"> proportion of rent</w:t>
            </w:r>
          </w:p>
        </w:tc>
      </w:tr>
      <w:tr w:rsidR="003852B2" w14:paraId="21DAB968" w14:textId="77777777" w:rsidTr="008A4179">
        <w:trPr>
          <w:trHeight w:val="300"/>
        </w:trPr>
        <w:tc>
          <w:tcPr>
            <w:tcW w:w="22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0B587C6" w14:textId="77777777" w:rsidR="003852B2" w:rsidRDefault="003852B2" w:rsidP="008A4179">
            <w:pPr>
              <w:jc w:val="left"/>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Jalalabad urban area</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F26A6F3"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6039</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8DF80F4"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1376</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1631830"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107</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1A3B38B"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2361</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02BA7A0"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9820</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5CA6D94"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62.6%</w:t>
            </w:r>
          </w:p>
        </w:tc>
      </w:tr>
      <w:tr w:rsidR="003852B2" w14:paraId="4B0CACFC" w14:textId="77777777" w:rsidTr="008A4179">
        <w:trPr>
          <w:trHeight w:val="300"/>
        </w:trPr>
        <w:tc>
          <w:tcPr>
            <w:tcW w:w="22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F07A12C" w14:textId="77777777" w:rsidR="003852B2" w:rsidRDefault="003852B2" w:rsidP="008A4179">
            <w:pPr>
              <w:ind w:firstLineChars="100" w:firstLine="180"/>
              <w:jc w:val="left"/>
              <w:rPr>
                <w:rFonts w:eastAsia="Times New Roman" w:cs="Times New Roman"/>
                <w:color w:val="000000"/>
                <w:sz w:val="18"/>
                <w:szCs w:val="18"/>
                <w:lang w:val="en-GB" w:eastAsia="en-GB"/>
              </w:rPr>
            </w:pPr>
            <w:r>
              <w:rPr>
                <w:rFonts w:eastAsia="Times New Roman" w:cs="Times New Roman"/>
                <w:color w:val="000000"/>
                <w:sz w:val="18"/>
                <w:szCs w:val="18"/>
                <w:lang w:val="en-GB" w:eastAsia="en-GB"/>
              </w:rPr>
              <w:t>Jalalabad</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2BEFF62"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7478</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45829BF"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2204</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5464161"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177</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346FA88"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2735</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5061A82"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12543</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633C4AB"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67.7%</w:t>
            </w:r>
          </w:p>
        </w:tc>
      </w:tr>
      <w:tr w:rsidR="003852B2" w14:paraId="50791B35" w14:textId="77777777" w:rsidTr="008A4179">
        <w:trPr>
          <w:trHeight w:val="300"/>
        </w:trPr>
        <w:tc>
          <w:tcPr>
            <w:tcW w:w="22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05529B8" w14:textId="77777777" w:rsidR="003852B2" w:rsidRDefault="003852B2" w:rsidP="008A4179">
            <w:pPr>
              <w:ind w:firstLineChars="100" w:firstLine="180"/>
              <w:jc w:val="left"/>
              <w:rPr>
                <w:rFonts w:eastAsia="Times New Roman" w:cs="Times New Roman"/>
                <w:color w:val="000000"/>
                <w:sz w:val="18"/>
                <w:szCs w:val="18"/>
                <w:lang w:val="en-GB" w:eastAsia="en-GB"/>
              </w:rPr>
            </w:pPr>
            <w:r>
              <w:rPr>
                <w:rFonts w:eastAsia="Times New Roman" w:cs="Times New Roman"/>
                <w:color w:val="000000"/>
                <w:sz w:val="18"/>
                <w:szCs w:val="18"/>
                <w:lang w:val="en-GB" w:eastAsia="en-GB"/>
              </w:rPr>
              <w:t>Behsud</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E2E6072"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3754</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436BEC4"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72</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3415EBC"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0</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DDC441D"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2059</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62DE313"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5883</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96D483C"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56.7%</w:t>
            </w:r>
          </w:p>
        </w:tc>
      </w:tr>
      <w:tr w:rsidR="003852B2" w14:paraId="440D477C" w14:textId="77777777" w:rsidTr="008A4179">
        <w:trPr>
          <w:trHeight w:val="300"/>
        </w:trPr>
        <w:tc>
          <w:tcPr>
            <w:tcW w:w="22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115B24B" w14:textId="77777777" w:rsidR="003852B2" w:rsidRDefault="003852B2" w:rsidP="008A4179">
            <w:pPr>
              <w:ind w:firstLineChars="100" w:firstLine="180"/>
              <w:jc w:val="left"/>
              <w:rPr>
                <w:rFonts w:eastAsia="Times New Roman" w:cs="Times New Roman"/>
                <w:color w:val="000000"/>
                <w:sz w:val="18"/>
                <w:szCs w:val="18"/>
                <w:lang w:val="en-GB" w:eastAsia="en-GB"/>
              </w:rPr>
            </w:pPr>
            <w:r>
              <w:rPr>
                <w:rFonts w:eastAsia="Times New Roman" w:cs="Times New Roman"/>
                <w:color w:val="000000"/>
                <w:sz w:val="18"/>
                <w:szCs w:val="18"/>
                <w:lang w:val="en-GB" w:eastAsia="en-GB"/>
              </w:rPr>
              <w:t>Surkhrod</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865D29E"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5298</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54DDC68"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909</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70D2F91"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67</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FE68079"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1950</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8DBA800"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8129</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DC9068E"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53.4%</w:t>
            </w:r>
          </w:p>
        </w:tc>
      </w:tr>
      <w:tr w:rsidR="003852B2" w14:paraId="2EDB8968" w14:textId="77777777" w:rsidTr="008A4179">
        <w:trPr>
          <w:trHeight w:val="300"/>
        </w:trPr>
        <w:tc>
          <w:tcPr>
            <w:tcW w:w="22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C7C27FA" w14:textId="77777777" w:rsidR="003852B2" w:rsidRDefault="003852B2" w:rsidP="008A4179">
            <w:pPr>
              <w:jc w:val="left"/>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Chamtala</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2168A0B"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2252</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5BABB3C"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78</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7ADD493"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310</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2C0D4D5"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1633</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AB1C984"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4274</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18CBA80"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89.8%</w:t>
            </w:r>
          </w:p>
        </w:tc>
      </w:tr>
      <w:tr w:rsidR="003852B2" w14:paraId="61559AFA" w14:textId="77777777" w:rsidTr="008A4179">
        <w:trPr>
          <w:trHeight w:val="300"/>
        </w:trPr>
        <w:tc>
          <w:tcPr>
            <w:tcW w:w="22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7332A81" w14:textId="77777777" w:rsidR="003852B2" w:rsidRDefault="003852B2" w:rsidP="008A4179">
            <w:pPr>
              <w:jc w:val="left"/>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Kabul camp</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0F27AE5"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3748</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161697A"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0</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1182F56"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238</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7DCAAB2"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1491</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78D27D7"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5471</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D3E126C"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46.0%</w:t>
            </w:r>
          </w:p>
        </w:tc>
      </w:tr>
      <w:tr w:rsidR="003852B2" w14:paraId="3762B561" w14:textId="77777777" w:rsidTr="008A4179">
        <w:trPr>
          <w:trHeight w:val="300"/>
        </w:trPr>
        <w:tc>
          <w:tcPr>
            <w:tcW w:w="22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C2753F8" w14:textId="77777777" w:rsidR="003852B2" w:rsidRDefault="003852B2" w:rsidP="008A4179">
            <w:pPr>
              <w:jc w:val="left"/>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Bar Shegi</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BCD2130"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2532</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77F3550"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0</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62CEFBE"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0</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4F60FE8"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1430</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ECD26DA"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3962</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F583E81"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56.5%</w:t>
            </w:r>
          </w:p>
        </w:tc>
      </w:tr>
      <w:tr w:rsidR="003852B2" w14:paraId="056E5DE3" w14:textId="77777777" w:rsidTr="008A4179">
        <w:trPr>
          <w:trHeight w:val="300"/>
        </w:trPr>
        <w:tc>
          <w:tcPr>
            <w:tcW w:w="22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0D50DE6" w14:textId="77777777" w:rsidR="003852B2" w:rsidRDefault="003852B2" w:rsidP="008A4179">
            <w:pPr>
              <w:jc w:val="left"/>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Harchar</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8830B37"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5504</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65234F2"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990</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AC5D3F9"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95</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261C9CE"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1638</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C87AF36"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8228</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C59A07B"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49.5%</w:t>
            </w:r>
          </w:p>
        </w:tc>
      </w:tr>
      <w:tr w:rsidR="003852B2" w14:paraId="56205C50" w14:textId="77777777" w:rsidTr="008A4179">
        <w:trPr>
          <w:trHeight w:val="300"/>
        </w:trPr>
        <w:tc>
          <w:tcPr>
            <w:tcW w:w="22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61480B6" w14:textId="77777777" w:rsidR="003852B2" w:rsidRDefault="003852B2" w:rsidP="008A4179">
            <w:pPr>
              <w:jc w:val="left"/>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Grand Total</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B9ACF9D"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5342</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D1B7980"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1031</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210F792"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139</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FF66E3C"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2137</w:t>
            </w:r>
          </w:p>
        </w:tc>
        <w:tc>
          <w:tcPr>
            <w:tcW w:w="129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BEFD79A" w14:textId="77777777" w:rsidR="003852B2" w:rsidRDefault="003852B2"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8606</w:t>
            </w:r>
          </w:p>
        </w:tc>
        <w:tc>
          <w:tcPr>
            <w:tcW w:w="1292"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B2F06AF" w14:textId="77777777" w:rsidR="003852B2" w:rsidRDefault="003852B2"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61.1%</w:t>
            </w:r>
          </w:p>
        </w:tc>
      </w:tr>
    </w:tbl>
    <w:p w14:paraId="1C1124B4" w14:textId="672ECBA9" w:rsidR="007351A3" w:rsidRPr="00DF11D4" w:rsidRDefault="007351A3" w:rsidP="003852B2">
      <w:pPr>
        <w:rPr>
          <w:sz w:val="14"/>
        </w:rPr>
      </w:pPr>
    </w:p>
    <w:p w14:paraId="09480903" w14:textId="77777777" w:rsidR="00DF11D4" w:rsidRDefault="00DF11D4" w:rsidP="003852B2"/>
    <w:p w14:paraId="053BE69D" w14:textId="77777777" w:rsidR="002640E5" w:rsidRPr="002640E5" w:rsidRDefault="002640E5" w:rsidP="002640E5">
      <w:pPr>
        <w:pBdr>
          <w:top w:val="single" w:sz="4" w:space="1" w:color="auto"/>
          <w:left w:val="single" w:sz="4" w:space="4" w:color="auto"/>
          <w:bottom w:val="single" w:sz="4" w:space="1" w:color="auto"/>
          <w:right w:val="single" w:sz="4" w:space="4" w:color="auto"/>
        </w:pBdr>
        <w:rPr>
          <w:sz w:val="10"/>
        </w:rPr>
      </w:pPr>
    </w:p>
    <w:p w14:paraId="0AF3CF92" w14:textId="05A2F538" w:rsidR="007351A3" w:rsidRDefault="00690371" w:rsidP="002640E5">
      <w:pPr>
        <w:pBdr>
          <w:top w:val="single" w:sz="4" w:space="1" w:color="auto"/>
          <w:left w:val="single" w:sz="4" w:space="4" w:color="auto"/>
          <w:bottom w:val="single" w:sz="4" w:space="1" w:color="auto"/>
          <w:right w:val="single" w:sz="4" w:space="4" w:color="auto"/>
        </w:pBdr>
      </w:pPr>
      <w:r>
        <w:t>Dedicated heating is used by 16.2% of households overall, but in</w:t>
      </w:r>
      <w:r w:rsidR="007351A3" w:rsidRPr="007351A3">
        <w:t xml:space="preserve"> more urban, central locations </w:t>
      </w:r>
      <w:r>
        <w:t xml:space="preserve">the use of </w:t>
      </w:r>
      <w:r w:rsidRPr="007351A3">
        <w:t>gas or electric heaters</w:t>
      </w:r>
      <w:r>
        <w:t xml:space="preserve"> is more prevalent </w:t>
      </w:r>
      <w:r w:rsidR="007351A3" w:rsidRPr="007351A3">
        <w:t>(</w:t>
      </w:r>
      <w:r>
        <w:t xml:space="preserve">30.3% </w:t>
      </w:r>
      <w:r w:rsidR="007351A3" w:rsidRPr="007351A3">
        <w:t xml:space="preserve">in Jalalabad district and in </w:t>
      </w:r>
      <w:r>
        <w:t xml:space="preserve">33.3% </w:t>
      </w:r>
      <w:r w:rsidR="004458F6">
        <w:t>Harchar)</w:t>
      </w:r>
      <w:r w:rsidR="007351A3" w:rsidRPr="007351A3">
        <w:t xml:space="preserve">. Absence of dedicated heating is strongly associated with the technical score of the housing: in </w:t>
      </w:r>
      <w:r w:rsidR="00275564">
        <w:t>extremely</w:t>
      </w:r>
      <w:r w:rsidR="007351A3" w:rsidRPr="007351A3">
        <w:t xml:space="preserve"> </w:t>
      </w:r>
      <w:r w:rsidR="00275564">
        <w:t>poor</w:t>
      </w:r>
      <w:r>
        <w:t xml:space="preserve"> </w:t>
      </w:r>
      <w:r w:rsidR="007351A3" w:rsidRPr="007351A3">
        <w:t xml:space="preserve">quality accommodation dedicated heaters are a rarity (7.5%), </w:t>
      </w:r>
      <w:r w:rsidR="00275564">
        <w:t>and</w:t>
      </w:r>
      <w:r w:rsidR="007351A3" w:rsidRPr="007351A3">
        <w:t xml:space="preserve"> in shelters of </w:t>
      </w:r>
      <w:r w:rsidR="00275564">
        <w:t>poor</w:t>
      </w:r>
      <w:r w:rsidR="007351A3" w:rsidRPr="007351A3">
        <w:t xml:space="preserve"> conditions dedicated h</w:t>
      </w:r>
      <w:r w:rsidR="00275564">
        <w:t>eaters are seen in about 18</w:t>
      </w:r>
      <w:r w:rsidR="007351A3" w:rsidRPr="007351A3">
        <w:t xml:space="preserve">% of the time. </w:t>
      </w:r>
    </w:p>
    <w:p w14:paraId="6491930B" w14:textId="77777777" w:rsidR="007351A3" w:rsidRDefault="007351A3" w:rsidP="002640E5">
      <w:pPr>
        <w:pBdr>
          <w:top w:val="single" w:sz="4" w:space="1" w:color="auto"/>
          <w:left w:val="single" w:sz="4" w:space="4" w:color="auto"/>
          <w:bottom w:val="single" w:sz="4" w:space="1" w:color="auto"/>
          <w:right w:val="single" w:sz="4" w:space="4" w:color="auto"/>
        </w:pBdr>
      </w:pPr>
    </w:p>
    <w:p w14:paraId="06B91A9E" w14:textId="77777777" w:rsidR="007351A3" w:rsidRDefault="003852B2" w:rsidP="002640E5">
      <w:pPr>
        <w:pBdr>
          <w:top w:val="single" w:sz="4" w:space="1" w:color="auto"/>
          <w:left w:val="single" w:sz="4" w:space="4" w:color="auto"/>
          <w:bottom w:val="single" w:sz="4" w:space="1" w:color="auto"/>
          <w:right w:val="single" w:sz="4" w:space="4" w:color="auto"/>
        </w:pBdr>
      </w:pPr>
      <w:r>
        <w:t xml:space="preserve">Absence of heating is also associated with the quality of doors and windows: in houses with extremely poor quality of door and/or windows dedicated heaters are only encountered in 2% of the cases, exacerbating exposure to the elements. </w:t>
      </w:r>
    </w:p>
    <w:p w14:paraId="590D1B60" w14:textId="77777777" w:rsidR="007351A3" w:rsidRDefault="007351A3" w:rsidP="002640E5">
      <w:pPr>
        <w:pBdr>
          <w:top w:val="single" w:sz="4" w:space="1" w:color="auto"/>
          <w:left w:val="single" w:sz="4" w:space="4" w:color="auto"/>
          <w:bottom w:val="single" w:sz="4" w:space="1" w:color="auto"/>
          <w:right w:val="single" w:sz="4" w:space="4" w:color="auto"/>
        </w:pBdr>
      </w:pPr>
    </w:p>
    <w:p w14:paraId="3DF7DE4A" w14:textId="527FC466" w:rsidR="003852B2" w:rsidRDefault="007351A3" w:rsidP="002640E5">
      <w:pPr>
        <w:pBdr>
          <w:top w:val="single" w:sz="4" w:space="1" w:color="auto"/>
          <w:left w:val="single" w:sz="4" w:space="4" w:color="auto"/>
          <w:bottom w:val="single" w:sz="4" w:space="1" w:color="auto"/>
          <w:right w:val="single" w:sz="4" w:space="4" w:color="auto"/>
        </w:pBdr>
      </w:pPr>
      <w:r>
        <w:t>Even though the winter conditions are relatively mild in the surveyed areas, t</w:t>
      </w:r>
      <w:r w:rsidR="003852B2">
        <w:t>he households</w:t>
      </w:r>
      <w:r w:rsidR="00690371">
        <w:t xml:space="preserve"> that lack heating</w:t>
      </w:r>
      <w:r w:rsidR="003852B2">
        <w:t xml:space="preserve"> could benefit from a sealing off kit in order to improve their protection against cold weather. </w:t>
      </w:r>
    </w:p>
    <w:p w14:paraId="70027F58" w14:textId="77777777" w:rsidR="002640E5" w:rsidRPr="002640E5" w:rsidRDefault="002640E5" w:rsidP="002640E5">
      <w:pPr>
        <w:pBdr>
          <w:top w:val="single" w:sz="4" w:space="1" w:color="auto"/>
          <w:left w:val="single" w:sz="4" w:space="4" w:color="auto"/>
          <w:bottom w:val="single" w:sz="4" w:space="1" w:color="auto"/>
          <w:right w:val="single" w:sz="4" w:space="4" w:color="auto"/>
        </w:pBdr>
        <w:rPr>
          <w:sz w:val="10"/>
        </w:rPr>
      </w:pPr>
    </w:p>
    <w:p w14:paraId="30C8ADCF" w14:textId="30351B7A" w:rsidR="00BA02BE" w:rsidRDefault="00BA02BE" w:rsidP="00BA02BE"/>
    <w:p w14:paraId="006BE447" w14:textId="2355DA6C" w:rsidR="00DF11D4" w:rsidRDefault="00DF11D4" w:rsidP="00BA02BE"/>
    <w:p w14:paraId="2FA92845" w14:textId="77777777" w:rsidR="00DF11D4" w:rsidRDefault="00DF11D4" w:rsidP="00BA02BE"/>
    <w:p w14:paraId="3C6FE335" w14:textId="5AC6BCB8" w:rsidR="000306B3" w:rsidRDefault="000306B3" w:rsidP="000306B3">
      <w:bookmarkStart w:id="22" w:name="_Toc523407959"/>
    </w:p>
    <w:p w14:paraId="1542B7B7" w14:textId="77777777" w:rsidR="000306B3" w:rsidRDefault="000306B3" w:rsidP="000306B3"/>
    <w:p w14:paraId="3D0C6227" w14:textId="74535850" w:rsidR="00782190" w:rsidRDefault="00782190" w:rsidP="00782190">
      <w:pPr>
        <w:pStyle w:val="Heading2"/>
      </w:pPr>
      <w:r>
        <w:t>Demand for Rental Housing</w:t>
      </w:r>
      <w:bookmarkEnd w:id="18"/>
      <w:bookmarkEnd w:id="22"/>
    </w:p>
    <w:p w14:paraId="1F1E4A23" w14:textId="77777777" w:rsidR="00782190" w:rsidRDefault="00782190" w:rsidP="00782190"/>
    <w:p w14:paraId="680EDDA1" w14:textId="11309BB3" w:rsidR="00782190" w:rsidRDefault="00782190" w:rsidP="00782190">
      <w:r>
        <w:t xml:space="preserve">The </w:t>
      </w:r>
      <w:r w:rsidR="001E59A1">
        <w:t>assessment</w:t>
      </w:r>
      <w:r>
        <w:t xml:space="preserve"> attempted to approximate the demand </w:t>
      </w:r>
      <w:r w:rsidR="00D96584">
        <w:t>for rental housing</w:t>
      </w:r>
      <w:r>
        <w:t xml:space="preserve"> by </w:t>
      </w:r>
      <w:r w:rsidR="00D96584">
        <w:t xml:space="preserve">assessing how difficult it was for the </w:t>
      </w:r>
      <w:r>
        <w:t xml:space="preserve"> respondents </w:t>
      </w:r>
      <w:r w:rsidR="00D96584">
        <w:t>to</w:t>
      </w:r>
      <w:r>
        <w:t xml:space="preserve"> </w:t>
      </w:r>
      <w:r w:rsidR="009F68F0">
        <w:t>find</w:t>
      </w:r>
      <w:r>
        <w:t xml:space="preserve"> their current accommodation. </w:t>
      </w:r>
      <w:r w:rsidR="00117BDF">
        <w:t xml:space="preserve">Among </w:t>
      </w:r>
      <w:r w:rsidR="001E59A1">
        <w:t xml:space="preserve">the </w:t>
      </w:r>
      <w:r>
        <w:t xml:space="preserve">31% </w:t>
      </w:r>
      <w:r w:rsidR="001E59A1">
        <w:t xml:space="preserve">that </w:t>
      </w:r>
      <w:r>
        <w:t>reported that finding housing was difficult</w:t>
      </w:r>
      <w:r w:rsidR="001E59A1">
        <w:t xml:space="preserve">, </w:t>
      </w:r>
      <w:r w:rsidR="00E31185">
        <w:t xml:space="preserve">14% mentioned shortage of available housing but </w:t>
      </w:r>
      <w:r w:rsidR="001E59A1">
        <w:t>84%</w:t>
      </w:r>
      <w:r>
        <w:t xml:space="preserve"> cited price</w:t>
      </w:r>
      <w:r w:rsidR="00E31185">
        <w:t xml:space="preserve"> as the main hindrance.</w:t>
      </w:r>
    </w:p>
    <w:p w14:paraId="3892EFEB" w14:textId="6F67B6DA" w:rsidR="00E31185" w:rsidRDefault="00E31185" w:rsidP="00E31185"/>
    <w:p w14:paraId="3E7F8B1B" w14:textId="1994A1A9" w:rsidR="0005269F" w:rsidRDefault="00782190" w:rsidP="00782190">
      <w:r>
        <w:t xml:space="preserve">Women reported difficulties in finding housing more often than men: 37.7% for women against 24.4% for men. Noticeably, </w:t>
      </w:r>
      <w:r w:rsidRPr="0098082B">
        <w:t xml:space="preserve">displaced households (IDP, returnees) also had difficulties finding housing more often than members of the host community. Moreover, there is significant differences </w:t>
      </w:r>
      <w:r w:rsidR="001E59A1">
        <w:t>across</w:t>
      </w:r>
      <w:r w:rsidRPr="0098082B">
        <w:t xml:space="preserve"> different markets: in urban/semi-urban settlements, as well as in hard-to-reach areas, the households find it significantly more difficult to find accommodation</w:t>
      </w:r>
      <w:r w:rsidR="0005269F">
        <w:t>.</w:t>
      </w:r>
    </w:p>
    <w:p w14:paraId="760A9B52" w14:textId="77777777" w:rsidR="000306B3" w:rsidRDefault="000306B3" w:rsidP="00782190"/>
    <w:p w14:paraId="08587293" w14:textId="6BFA955B" w:rsidR="00782190" w:rsidRDefault="009F68F0" w:rsidP="00782190">
      <w:r>
        <w:t xml:space="preserve"> </w:t>
      </w:r>
    </w:p>
    <w:p w14:paraId="0740B55B" w14:textId="77777777" w:rsidR="000306B3" w:rsidRPr="000306B3" w:rsidRDefault="000306B3" w:rsidP="000306B3">
      <w:pPr>
        <w:jc w:val="center"/>
        <w:rPr>
          <w:sz w:val="10"/>
        </w:rPr>
      </w:pPr>
    </w:p>
    <w:p w14:paraId="1FB6600A" w14:textId="77777777" w:rsidR="009F68F0" w:rsidRDefault="009F68F0" w:rsidP="0005269F">
      <w:pPr>
        <w:keepNext/>
        <w:jc w:val="center"/>
      </w:pPr>
      <w:r>
        <w:rPr>
          <w:noProof/>
        </w:rPr>
        <w:drawing>
          <wp:inline distT="0" distB="0" distL="0" distR="0" wp14:anchorId="60EC6CDC" wp14:editId="49241AD5">
            <wp:extent cx="4584700" cy="2266950"/>
            <wp:effectExtent l="0" t="0" r="6350" b="0"/>
            <wp:docPr id="16" name="Chart 16">
              <a:extLst xmlns:a="http://schemas.openxmlformats.org/drawingml/2006/main">
                <a:ext uri="{FF2B5EF4-FFF2-40B4-BE49-F238E27FC236}">
                  <a16:creationId xmlns:a16="http://schemas.microsoft.com/office/drawing/2014/main" id="{A9DB014F-047E-4F99-99C5-7186F29CB74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CC029DD" w14:textId="3B46DCE4" w:rsidR="009F68F0" w:rsidRDefault="0005269F" w:rsidP="0005269F">
      <w:pPr>
        <w:pStyle w:val="Caption"/>
      </w:pPr>
      <w:bookmarkStart w:id="23" w:name="_Ref523213822"/>
      <w:r>
        <w:t xml:space="preserve">                                    </w:t>
      </w:r>
      <w:r w:rsidR="009F68F0">
        <w:t xml:space="preserve">Figure </w:t>
      </w:r>
      <w:r w:rsidR="00C27CD4">
        <w:fldChar w:fldCharType="begin"/>
      </w:r>
      <w:r w:rsidR="00C27CD4">
        <w:instrText xml:space="preserve"> SEQ Figure \* ARABIC </w:instrText>
      </w:r>
      <w:r w:rsidR="00C27CD4">
        <w:fldChar w:fldCharType="separate"/>
      </w:r>
      <w:r w:rsidR="001B0803">
        <w:rPr>
          <w:noProof/>
        </w:rPr>
        <w:t>2</w:t>
      </w:r>
      <w:r w:rsidR="00C27CD4">
        <w:rPr>
          <w:noProof/>
        </w:rPr>
        <w:fldChar w:fldCharType="end"/>
      </w:r>
      <w:r w:rsidR="009F68F0">
        <w:t xml:space="preserve"> Difficulties finding </w:t>
      </w:r>
      <w:bookmarkEnd w:id="23"/>
      <w:r w:rsidR="009F68F0">
        <w:t>accommodation for different types of markets</w:t>
      </w:r>
    </w:p>
    <w:p w14:paraId="2894E162" w14:textId="77777777" w:rsidR="000306B3" w:rsidRPr="000306B3" w:rsidRDefault="000306B3" w:rsidP="000306B3">
      <w:pPr>
        <w:jc w:val="center"/>
        <w:rPr>
          <w:sz w:val="12"/>
        </w:rPr>
      </w:pPr>
    </w:p>
    <w:p w14:paraId="4ABEDA6B" w14:textId="77777777" w:rsidR="000306B3" w:rsidRDefault="000306B3" w:rsidP="00537883"/>
    <w:p w14:paraId="3F59247E" w14:textId="1B4F42B5" w:rsidR="00782190" w:rsidRPr="00537883" w:rsidRDefault="00782190" w:rsidP="00537883">
      <w:pPr>
        <w:rPr>
          <w:b/>
        </w:rPr>
      </w:pPr>
      <w:r>
        <w:t xml:space="preserve">For smaller households (under 5 members) finding suitable 1 or 2 room accommodation proved substantially less complicated than for larger households (especially, 8 to 12 members) to find housing with 3 or 4 rooms. In addition, </w:t>
      </w:r>
      <w:r w:rsidRPr="00537883">
        <w:rPr>
          <w:b/>
        </w:rPr>
        <w:t xml:space="preserve">more than half of the households that currently reside in very poor conditions </w:t>
      </w:r>
      <w:r w:rsidRPr="000306B3">
        <w:t xml:space="preserve">(score “extremely poor” </w:t>
      </w:r>
      <w:r w:rsidR="009F68F0" w:rsidRPr="000306B3">
        <w:t>on</w:t>
      </w:r>
      <w:r w:rsidRPr="000306B3">
        <w:t xml:space="preserve"> housing quality) </w:t>
      </w:r>
      <w:r w:rsidRPr="00537883">
        <w:rPr>
          <w:b/>
        </w:rPr>
        <w:t>reported that they had trouble findin</w:t>
      </w:r>
      <w:r w:rsidR="00537883">
        <w:rPr>
          <w:b/>
        </w:rPr>
        <w:t xml:space="preserve">g suitable housing. </w:t>
      </w:r>
      <w:r w:rsidR="00537883" w:rsidRPr="000306B3">
        <w:t xml:space="preserve">Furthermore, </w:t>
      </w:r>
      <w:r w:rsidRPr="00690371">
        <w:rPr>
          <w:b/>
        </w:rPr>
        <w:t>households that had trouble finding accommodation also report paying higher rental prices</w:t>
      </w:r>
      <w:r w:rsidRPr="00690371">
        <w:t>. Accordi</w:t>
      </w:r>
      <w:r>
        <w:t xml:space="preserve">ng to the collected data, they are paying, for </w:t>
      </w:r>
      <w:r w:rsidR="00690371">
        <w:t xml:space="preserve">housing units of </w:t>
      </w:r>
      <w:r>
        <w:t>similar size and quality – on average –</w:t>
      </w:r>
      <w:r w:rsidR="00690371">
        <w:t xml:space="preserve"> </w:t>
      </w:r>
      <w:r>
        <w:t>5 to 25</w:t>
      </w:r>
      <w:r w:rsidR="00A4006B">
        <w:t>% higher monthly rent.</w:t>
      </w:r>
    </w:p>
    <w:p w14:paraId="59D9D0BC" w14:textId="53883ED9" w:rsidR="00782190" w:rsidRDefault="00782190" w:rsidP="00537883"/>
    <w:p w14:paraId="1429A9C5" w14:textId="162B8C0C" w:rsidR="00782190" w:rsidRDefault="00782190" w:rsidP="00537883">
      <w:r>
        <w:t xml:space="preserve">Combined, this data survey suggests that for certain market segments demand significantly exceeds supply. In particular, large and poor households looking for cheaper accommodation may find it very difficult to find suitable housing and have to settle with overcrowding and / or </w:t>
      </w:r>
      <w:r w:rsidR="00690371">
        <w:t xml:space="preserve">housing </w:t>
      </w:r>
      <w:r>
        <w:t xml:space="preserve">of very poor quality. The market seems to offer too few of larger inexpensive housing units than the demand for them.   </w:t>
      </w:r>
    </w:p>
    <w:p w14:paraId="0D7CC945" w14:textId="3EDA3D33" w:rsidR="0055361E" w:rsidRDefault="0055361E" w:rsidP="0055361E">
      <w:bookmarkStart w:id="24" w:name="_Toc522906936"/>
    </w:p>
    <w:p w14:paraId="6D80A4B5" w14:textId="3D24DC39" w:rsidR="00782190" w:rsidRDefault="00B268C1" w:rsidP="00782190">
      <w:pPr>
        <w:pStyle w:val="Heading2"/>
      </w:pPr>
      <w:bookmarkStart w:id="25" w:name="_Toc523407960"/>
      <w:r>
        <w:t>Rental Housing</w:t>
      </w:r>
      <w:r w:rsidR="00782190">
        <w:t xml:space="preserve"> Supply</w:t>
      </w:r>
      <w:bookmarkEnd w:id="24"/>
      <w:bookmarkEnd w:id="25"/>
      <w:r w:rsidR="00782190">
        <w:t xml:space="preserve"> </w:t>
      </w:r>
    </w:p>
    <w:p w14:paraId="7EDDEF37" w14:textId="6B860364" w:rsidR="00782190" w:rsidRDefault="00782190" w:rsidP="00782190">
      <w:pPr>
        <w:rPr>
          <w:rFonts w:cstheme="minorHAnsi"/>
        </w:rPr>
      </w:pPr>
    </w:p>
    <w:p w14:paraId="58B822FC" w14:textId="75E120D8" w:rsidR="00782190" w:rsidRDefault="0003504D" w:rsidP="00782190">
      <w:pPr>
        <w:rPr>
          <w:rFonts w:cstheme="minorHAnsi"/>
        </w:rPr>
      </w:pPr>
      <w:r>
        <w:rPr>
          <w:rFonts w:cstheme="minorHAnsi"/>
        </w:rPr>
        <w:t>K</w:t>
      </w:r>
      <w:r w:rsidR="00782190">
        <w:rPr>
          <w:rFonts w:cstheme="minorHAnsi"/>
        </w:rPr>
        <w:t>ey informants were asked to provide information on vacant units available for rent</w:t>
      </w:r>
      <w:r w:rsidR="00304E88">
        <w:rPr>
          <w:rFonts w:cstheme="minorHAnsi"/>
        </w:rPr>
        <w:t xml:space="preserve"> </w:t>
      </w:r>
      <w:r w:rsidR="00C360F8">
        <w:rPr>
          <w:rFonts w:cstheme="minorHAnsi"/>
        </w:rPr>
        <w:t xml:space="preserve">in order </w:t>
      </w:r>
      <w:r w:rsidR="00304E88">
        <w:rPr>
          <w:rFonts w:cstheme="minorHAnsi"/>
        </w:rPr>
        <w:t>to (indirectly) address the question of market supply</w:t>
      </w:r>
      <w:r w:rsidR="008D4C38">
        <w:rPr>
          <w:rFonts w:cstheme="minorHAnsi"/>
        </w:rPr>
        <w:t xml:space="preserve">. </w:t>
      </w:r>
      <w:r w:rsidR="00C77AC6">
        <w:rPr>
          <w:rFonts w:cstheme="minorHAnsi"/>
        </w:rPr>
        <w:t>T</w:t>
      </w:r>
      <w:r w:rsidR="00782190">
        <w:rPr>
          <w:rFonts w:cstheme="minorHAnsi"/>
        </w:rPr>
        <w:t xml:space="preserve">here was no independent verification of the statements of the key informants, who seemed to exaggerate </w:t>
      </w:r>
      <w:r w:rsidR="00C77AC6">
        <w:rPr>
          <w:rFonts w:cstheme="minorHAnsi"/>
        </w:rPr>
        <w:t>t</w:t>
      </w:r>
      <w:r w:rsidR="00782190">
        <w:rPr>
          <w:rFonts w:cstheme="minorHAnsi"/>
        </w:rPr>
        <w:t xml:space="preserve">he amount of available </w:t>
      </w:r>
      <w:r w:rsidR="00C77AC6">
        <w:rPr>
          <w:rFonts w:cstheme="minorHAnsi"/>
        </w:rPr>
        <w:t>units</w:t>
      </w:r>
      <w:r w:rsidR="00782190">
        <w:rPr>
          <w:rFonts w:cstheme="minorHAnsi"/>
        </w:rPr>
        <w:t xml:space="preserve"> (</w:t>
      </w:r>
      <w:r w:rsidR="00C77AC6">
        <w:rPr>
          <w:rFonts w:cstheme="minorHAnsi"/>
        </w:rPr>
        <w:t xml:space="preserve">perhaps due to an </w:t>
      </w:r>
      <w:r w:rsidR="00782190">
        <w:rPr>
          <w:rFonts w:cstheme="minorHAnsi"/>
        </w:rPr>
        <w:t xml:space="preserve">expectation of participating in a rental programme). </w:t>
      </w:r>
      <w:r w:rsidR="00304E88">
        <w:rPr>
          <w:rFonts w:cstheme="minorHAnsi"/>
        </w:rPr>
        <w:t xml:space="preserve">Nonetheless, this revealed an indicative picture of the availability of housing units on the market. </w:t>
      </w:r>
      <w:r w:rsidR="009430EF">
        <w:rPr>
          <w:rFonts w:cstheme="minorHAnsi"/>
        </w:rPr>
        <w:t xml:space="preserve">While </w:t>
      </w:r>
      <w:r w:rsidR="00782190">
        <w:rPr>
          <w:rFonts w:cstheme="minorHAnsi"/>
        </w:rPr>
        <w:t>40.3% of the respondents informed that they had units available for rent</w:t>
      </w:r>
      <w:r w:rsidR="009430EF">
        <w:rPr>
          <w:rFonts w:cstheme="minorHAnsi"/>
        </w:rPr>
        <w:t xml:space="preserve">, in </w:t>
      </w:r>
      <w:r w:rsidR="002D74D3">
        <w:rPr>
          <w:rFonts w:cstheme="minorHAnsi"/>
        </w:rPr>
        <w:t>some parts of</w:t>
      </w:r>
      <w:r w:rsidR="00782190">
        <w:rPr>
          <w:rFonts w:cstheme="minorHAnsi"/>
        </w:rPr>
        <w:t xml:space="preserve"> central Jalalabad, </w:t>
      </w:r>
      <w:r w:rsidR="002D74D3">
        <w:rPr>
          <w:rFonts w:cstheme="minorHAnsi"/>
        </w:rPr>
        <w:t>and</w:t>
      </w:r>
      <w:r w:rsidR="00782190">
        <w:rPr>
          <w:rFonts w:cstheme="minorHAnsi"/>
        </w:rPr>
        <w:t xml:space="preserve"> all the settlements in Surkhrod </w:t>
      </w:r>
      <w:r w:rsidR="009430EF">
        <w:rPr>
          <w:rFonts w:cstheme="minorHAnsi"/>
        </w:rPr>
        <w:t>district,</w:t>
      </w:r>
      <w:r w:rsidR="00782190">
        <w:rPr>
          <w:rFonts w:cstheme="minorHAnsi"/>
        </w:rPr>
        <w:t xml:space="preserve"> </w:t>
      </w:r>
      <w:r w:rsidR="002D74D3">
        <w:rPr>
          <w:rFonts w:cstheme="minorHAnsi"/>
        </w:rPr>
        <w:t xml:space="preserve">there were </w:t>
      </w:r>
      <w:r w:rsidR="00782190">
        <w:rPr>
          <w:rFonts w:cstheme="minorHAnsi"/>
        </w:rPr>
        <w:t>no empty units available for rent</w:t>
      </w:r>
      <w:r w:rsidR="009430EF">
        <w:rPr>
          <w:rFonts w:cstheme="minorHAnsi"/>
        </w:rPr>
        <w:t xml:space="preserve"> (</w:t>
      </w:r>
      <w:r w:rsidR="00352188">
        <w:rPr>
          <w:rFonts w:cstheme="minorHAnsi"/>
        </w:rPr>
        <w:t xml:space="preserve">reflecting </w:t>
      </w:r>
      <w:r w:rsidR="009430EF">
        <w:rPr>
          <w:rFonts w:cstheme="minorHAnsi"/>
        </w:rPr>
        <w:t xml:space="preserve">a </w:t>
      </w:r>
      <w:r w:rsidR="002D74D3">
        <w:rPr>
          <w:rFonts w:cstheme="minorHAnsi"/>
        </w:rPr>
        <w:t xml:space="preserve">deficit in some </w:t>
      </w:r>
      <w:r w:rsidR="002C644F">
        <w:rPr>
          <w:rFonts w:cstheme="minorHAnsi"/>
        </w:rPr>
        <w:t>locations</w:t>
      </w:r>
      <w:r w:rsidR="009430EF">
        <w:rPr>
          <w:rFonts w:cstheme="minorHAnsi"/>
        </w:rPr>
        <w:t>)</w:t>
      </w:r>
      <w:r w:rsidR="002D74D3">
        <w:rPr>
          <w:rFonts w:cstheme="minorHAnsi"/>
        </w:rPr>
        <w:t>.</w:t>
      </w:r>
      <w:r w:rsidR="00782190">
        <w:rPr>
          <w:rFonts w:cstheme="minorHAnsi"/>
        </w:rPr>
        <w:t xml:space="preserve"> </w:t>
      </w:r>
    </w:p>
    <w:p w14:paraId="2B22F13E" w14:textId="77777777" w:rsidR="00782190" w:rsidRDefault="00782190" w:rsidP="00782190">
      <w:pPr>
        <w:rPr>
          <w:rFonts w:cstheme="minorHAnsi"/>
        </w:rPr>
      </w:pPr>
    </w:p>
    <w:p w14:paraId="768DAD3D" w14:textId="08E6817B" w:rsidR="00782190" w:rsidRDefault="00782190" w:rsidP="00782190">
      <w:pPr>
        <w:pStyle w:val="Caption"/>
        <w:keepNext/>
      </w:pPr>
      <w:bookmarkStart w:id="26" w:name="_Ref523391079"/>
      <w:r>
        <w:t xml:space="preserve">Table </w:t>
      </w:r>
      <w:r>
        <w:rPr>
          <w:noProof/>
        </w:rPr>
        <w:fldChar w:fldCharType="begin"/>
      </w:r>
      <w:r>
        <w:rPr>
          <w:noProof/>
        </w:rPr>
        <w:instrText xml:space="preserve"> SEQ Table \* ARABIC </w:instrText>
      </w:r>
      <w:r>
        <w:rPr>
          <w:noProof/>
        </w:rPr>
        <w:fldChar w:fldCharType="separate"/>
      </w:r>
      <w:r w:rsidR="00352188">
        <w:rPr>
          <w:noProof/>
        </w:rPr>
        <w:t>5</w:t>
      </w:r>
      <w:r>
        <w:rPr>
          <w:noProof/>
        </w:rPr>
        <w:fldChar w:fldCharType="end"/>
      </w:r>
      <w:bookmarkEnd w:id="26"/>
      <w:r>
        <w:t xml:space="preserve"> Key informants reporting availability of empty units</w:t>
      </w:r>
    </w:p>
    <w:tbl>
      <w:tblPr>
        <w:tblW w:w="5000" w:type="pct"/>
        <w:tblLook w:val="04A0" w:firstRow="1" w:lastRow="0" w:firstColumn="1" w:lastColumn="0" w:noHBand="0" w:noVBand="1"/>
      </w:tblPr>
      <w:tblGrid>
        <w:gridCol w:w="2706"/>
        <w:gridCol w:w="2414"/>
        <w:gridCol w:w="2475"/>
        <w:gridCol w:w="2475"/>
      </w:tblGrid>
      <w:tr w:rsidR="00782190" w14:paraId="4C592431" w14:textId="77777777" w:rsidTr="0098082B">
        <w:trPr>
          <w:trHeight w:val="300"/>
        </w:trPr>
        <w:tc>
          <w:tcPr>
            <w:tcW w:w="134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43BF592" w14:textId="77777777" w:rsidR="00782190" w:rsidRDefault="00782190" w:rsidP="0098082B">
            <w:pPr>
              <w:rPr>
                <w:rFonts w:cstheme="minorHAnsi"/>
                <w:b/>
                <w:bCs/>
              </w:rPr>
            </w:pPr>
            <w:r>
              <w:rPr>
                <w:rFonts w:cstheme="minorHAnsi"/>
                <w:b/>
                <w:bCs/>
              </w:rPr>
              <w:t>Market</w:t>
            </w:r>
          </w:p>
        </w:tc>
        <w:tc>
          <w:tcPr>
            <w:tcW w:w="119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B48B7FB" w14:textId="77777777" w:rsidR="00782190" w:rsidRDefault="00782190" w:rsidP="0098082B">
            <w:pPr>
              <w:rPr>
                <w:rFonts w:cstheme="minorHAnsi"/>
                <w:b/>
                <w:bCs/>
              </w:rPr>
            </w:pPr>
            <w:r>
              <w:rPr>
                <w:rFonts w:cstheme="minorHAnsi"/>
                <w:b/>
                <w:bCs/>
              </w:rPr>
              <w:t xml:space="preserve">No empty units </w:t>
            </w:r>
          </w:p>
        </w:tc>
        <w:tc>
          <w:tcPr>
            <w:tcW w:w="12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2FC6FF23" w14:textId="77777777" w:rsidR="00782190" w:rsidRDefault="00782190" w:rsidP="0098082B">
            <w:pPr>
              <w:rPr>
                <w:rFonts w:cstheme="minorHAnsi"/>
                <w:b/>
                <w:bCs/>
              </w:rPr>
            </w:pPr>
            <w:r>
              <w:rPr>
                <w:rFonts w:cstheme="minorHAnsi"/>
                <w:b/>
                <w:bCs/>
              </w:rPr>
              <w:t>Units available</w:t>
            </w:r>
          </w:p>
        </w:tc>
        <w:tc>
          <w:tcPr>
            <w:tcW w:w="12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036AB60" w14:textId="77777777" w:rsidR="00782190" w:rsidRDefault="00782190" w:rsidP="0098082B">
            <w:pPr>
              <w:rPr>
                <w:rFonts w:cstheme="minorHAnsi"/>
                <w:b/>
                <w:bCs/>
              </w:rPr>
            </w:pPr>
            <w:r>
              <w:rPr>
                <w:rFonts w:cstheme="minorHAnsi"/>
                <w:b/>
                <w:bCs/>
              </w:rPr>
              <w:t>Empty units as proportion of total number of units</w:t>
            </w:r>
          </w:p>
        </w:tc>
      </w:tr>
      <w:tr w:rsidR="00782190" w14:paraId="620EBEAE" w14:textId="77777777" w:rsidTr="0098082B">
        <w:trPr>
          <w:trHeight w:val="300"/>
        </w:trPr>
        <w:tc>
          <w:tcPr>
            <w:tcW w:w="134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2CE4CFD" w14:textId="77777777" w:rsidR="00782190" w:rsidRDefault="00782190" w:rsidP="0098082B">
            <w:pPr>
              <w:rPr>
                <w:rFonts w:cstheme="minorHAnsi"/>
                <w:b/>
                <w:bCs/>
              </w:rPr>
            </w:pPr>
            <w:r>
              <w:rPr>
                <w:rFonts w:cstheme="minorHAnsi"/>
                <w:b/>
                <w:bCs/>
              </w:rPr>
              <w:t>Jalalabad urban area</w:t>
            </w:r>
          </w:p>
        </w:tc>
        <w:tc>
          <w:tcPr>
            <w:tcW w:w="119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0F6C37F7" w14:textId="77777777" w:rsidR="00782190" w:rsidRDefault="00782190" w:rsidP="0098082B">
            <w:pPr>
              <w:rPr>
                <w:rFonts w:cstheme="minorHAnsi"/>
                <w:b/>
                <w:bCs/>
              </w:rPr>
            </w:pPr>
            <w:r>
              <w:rPr>
                <w:rFonts w:cstheme="minorHAnsi"/>
                <w:b/>
                <w:bCs/>
              </w:rPr>
              <w:t>58.7%</w:t>
            </w:r>
          </w:p>
        </w:tc>
        <w:tc>
          <w:tcPr>
            <w:tcW w:w="12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5ABBF18" w14:textId="77777777" w:rsidR="00782190" w:rsidRDefault="00782190" w:rsidP="0098082B">
            <w:pPr>
              <w:rPr>
                <w:rFonts w:cstheme="minorHAnsi"/>
                <w:b/>
                <w:bCs/>
              </w:rPr>
            </w:pPr>
            <w:r>
              <w:rPr>
                <w:rFonts w:cstheme="minorHAnsi"/>
                <w:b/>
                <w:bCs/>
              </w:rPr>
              <w:t>41.3%</w:t>
            </w:r>
          </w:p>
        </w:tc>
        <w:tc>
          <w:tcPr>
            <w:tcW w:w="12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68CED6AE" w14:textId="77777777" w:rsidR="00782190" w:rsidRDefault="00782190" w:rsidP="0098082B">
            <w:pPr>
              <w:rPr>
                <w:rFonts w:cstheme="minorHAnsi"/>
                <w:b/>
                <w:bCs/>
              </w:rPr>
            </w:pPr>
            <w:r>
              <w:rPr>
                <w:rFonts w:ascii="Calibri" w:hAnsi="Calibri"/>
                <w:color w:val="000000"/>
              </w:rPr>
              <w:t>32.4%</w:t>
            </w:r>
          </w:p>
        </w:tc>
      </w:tr>
      <w:tr w:rsidR="00782190" w14:paraId="130C5588" w14:textId="77777777" w:rsidTr="0098082B">
        <w:trPr>
          <w:trHeight w:val="300"/>
        </w:trPr>
        <w:tc>
          <w:tcPr>
            <w:tcW w:w="134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6AB60182" w14:textId="77777777" w:rsidR="00782190" w:rsidRDefault="00782190" w:rsidP="0098082B">
            <w:pPr>
              <w:rPr>
                <w:rFonts w:cstheme="minorHAnsi"/>
              </w:rPr>
            </w:pPr>
            <w:r>
              <w:rPr>
                <w:rFonts w:cstheme="minorHAnsi"/>
              </w:rPr>
              <w:t>Behsud</w:t>
            </w:r>
          </w:p>
        </w:tc>
        <w:tc>
          <w:tcPr>
            <w:tcW w:w="119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6364D26F" w14:textId="77777777" w:rsidR="00782190" w:rsidRDefault="00782190" w:rsidP="0098082B">
            <w:pPr>
              <w:rPr>
                <w:rFonts w:cstheme="minorHAnsi"/>
              </w:rPr>
            </w:pPr>
            <w:r>
              <w:rPr>
                <w:rFonts w:cstheme="minorHAnsi"/>
              </w:rPr>
              <w:t>56.0%</w:t>
            </w:r>
          </w:p>
        </w:tc>
        <w:tc>
          <w:tcPr>
            <w:tcW w:w="12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2DE9CFFB" w14:textId="77777777" w:rsidR="00782190" w:rsidRDefault="00782190" w:rsidP="0098082B">
            <w:pPr>
              <w:rPr>
                <w:rFonts w:cstheme="minorHAnsi"/>
              </w:rPr>
            </w:pPr>
            <w:r>
              <w:rPr>
                <w:rFonts w:cstheme="minorHAnsi"/>
              </w:rPr>
              <w:t>44.0%</w:t>
            </w:r>
          </w:p>
        </w:tc>
        <w:tc>
          <w:tcPr>
            <w:tcW w:w="12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DDC99FC" w14:textId="77777777" w:rsidR="00782190" w:rsidRDefault="00782190" w:rsidP="0098082B">
            <w:pPr>
              <w:rPr>
                <w:rFonts w:cstheme="minorHAnsi"/>
              </w:rPr>
            </w:pPr>
            <w:r>
              <w:rPr>
                <w:rFonts w:ascii="Calibri" w:hAnsi="Calibri"/>
                <w:color w:val="000000"/>
              </w:rPr>
              <w:t>32.2%</w:t>
            </w:r>
          </w:p>
        </w:tc>
      </w:tr>
      <w:tr w:rsidR="00782190" w14:paraId="7A49E1C6" w14:textId="77777777" w:rsidTr="0098082B">
        <w:trPr>
          <w:trHeight w:val="300"/>
        </w:trPr>
        <w:tc>
          <w:tcPr>
            <w:tcW w:w="134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B39F4FB" w14:textId="77777777" w:rsidR="00782190" w:rsidRDefault="00782190" w:rsidP="0098082B">
            <w:pPr>
              <w:rPr>
                <w:rFonts w:cstheme="minorHAnsi"/>
              </w:rPr>
            </w:pPr>
            <w:r>
              <w:rPr>
                <w:rFonts w:cstheme="minorHAnsi"/>
              </w:rPr>
              <w:t>Jalalabad</w:t>
            </w:r>
          </w:p>
        </w:tc>
        <w:tc>
          <w:tcPr>
            <w:tcW w:w="119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9783253" w14:textId="77777777" w:rsidR="00782190" w:rsidRDefault="00782190" w:rsidP="0098082B">
            <w:pPr>
              <w:rPr>
                <w:rFonts w:cstheme="minorHAnsi"/>
              </w:rPr>
            </w:pPr>
            <w:r>
              <w:rPr>
                <w:rFonts w:cstheme="minorHAnsi"/>
              </w:rPr>
              <w:t>54.5%</w:t>
            </w:r>
          </w:p>
        </w:tc>
        <w:tc>
          <w:tcPr>
            <w:tcW w:w="12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32F7EA1" w14:textId="77777777" w:rsidR="00782190" w:rsidRDefault="00782190" w:rsidP="0098082B">
            <w:pPr>
              <w:rPr>
                <w:rFonts w:cstheme="minorHAnsi"/>
              </w:rPr>
            </w:pPr>
            <w:r>
              <w:rPr>
                <w:rFonts w:cstheme="minorHAnsi"/>
              </w:rPr>
              <w:t>45.5%</w:t>
            </w:r>
          </w:p>
        </w:tc>
        <w:tc>
          <w:tcPr>
            <w:tcW w:w="12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0019D696" w14:textId="77777777" w:rsidR="00782190" w:rsidRDefault="00782190" w:rsidP="0098082B">
            <w:pPr>
              <w:rPr>
                <w:rFonts w:cstheme="minorHAnsi"/>
              </w:rPr>
            </w:pPr>
            <w:r>
              <w:rPr>
                <w:rFonts w:ascii="Calibri" w:hAnsi="Calibri"/>
                <w:color w:val="000000"/>
              </w:rPr>
              <w:t>33.8%</w:t>
            </w:r>
          </w:p>
        </w:tc>
      </w:tr>
      <w:tr w:rsidR="00782190" w14:paraId="0E720D87" w14:textId="77777777" w:rsidTr="0098082B">
        <w:trPr>
          <w:trHeight w:val="300"/>
        </w:trPr>
        <w:tc>
          <w:tcPr>
            <w:tcW w:w="134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F676C5A" w14:textId="77777777" w:rsidR="00782190" w:rsidRDefault="00782190" w:rsidP="0098082B">
            <w:pPr>
              <w:rPr>
                <w:rFonts w:cstheme="minorHAnsi"/>
              </w:rPr>
            </w:pPr>
            <w:r>
              <w:rPr>
                <w:rFonts w:cstheme="minorHAnsi"/>
              </w:rPr>
              <w:t>Surkhrod</w:t>
            </w:r>
          </w:p>
        </w:tc>
        <w:tc>
          <w:tcPr>
            <w:tcW w:w="119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3DB4B740" w14:textId="77777777" w:rsidR="00782190" w:rsidRDefault="00782190" w:rsidP="0098082B">
            <w:pPr>
              <w:rPr>
                <w:rFonts w:cstheme="minorHAnsi"/>
              </w:rPr>
            </w:pPr>
            <w:r>
              <w:rPr>
                <w:rFonts w:cstheme="minorHAnsi"/>
              </w:rPr>
              <w:t>100.0%</w:t>
            </w:r>
          </w:p>
        </w:tc>
        <w:tc>
          <w:tcPr>
            <w:tcW w:w="12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58E6E425" w14:textId="77777777" w:rsidR="00782190" w:rsidRDefault="00782190" w:rsidP="0098082B">
            <w:pPr>
              <w:rPr>
                <w:rFonts w:cstheme="minorHAnsi"/>
              </w:rPr>
            </w:pPr>
            <w:r>
              <w:rPr>
                <w:rFonts w:cstheme="minorHAnsi"/>
              </w:rPr>
              <w:t>0.0%</w:t>
            </w:r>
          </w:p>
        </w:tc>
        <w:tc>
          <w:tcPr>
            <w:tcW w:w="12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2CCB4DBD" w14:textId="77777777" w:rsidR="00782190" w:rsidRDefault="00782190" w:rsidP="0098082B">
            <w:pPr>
              <w:rPr>
                <w:rFonts w:cstheme="minorHAnsi"/>
              </w:rPr>
            </w:pPr>
            <w:r>
              <w:rPr>
                <w:rFonts w:ascii="Calibri" w:hAnsi="Calibri"/>
                <w:color w:val="000000"/>
              </w:rPr>
              <w:t>0.0%</w:t>
            </w:r>
          </w:p>
        </w:tc>
      </w:tr>
      <w:tr w:rsidR="00782190" w14:paraId="0DBF0A72" w14:textId="77777777" w:rsidTr="0098082B">
        <w:trPr>
          <w:trHeight w:val="300"/>
        </w:trPr>
        <w:tc>
          <w:tcPr>
            <w:tcW w:w="134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87D9A8E" w14:textId="77777777" w:rsidR="00782190" w:rsidRDefault="00782190" w:rsidP="0098082B">
            <w:pPr>
              <w:rPr>
                <w:rFonts w:cstheme="minorHAnsi"/>
                <w:b/>
                <w:bCs/>
              </w:rPr>
            </w:pPr>
            <w:r>
              <w:rPr>
                <w:rFonts w:cstheme="minorHAnsi"/>
                <w:b/>
                <w:bCs/>
              </w:rPr>
              <w:t>Chamtala</w:t>
            </w:r>
          </w:p>
        </w:tc>
        <w:tc>
          <w:tcPr>
            <w:tcW w:w="119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59F215D" w14:textId="77777777" w:rsidR="00782190" w:rsidRDefault="00782190" w:rsidP="0098082B">
            <w:pPr>
              <w:rPr>
                <w:rFonts w:cstheme="minorHAnsi"/>
                <w:b/>
                <w:bCs/>
              </w:rPr>
            </w:pPr>
            <w:r>
              <w:rPr>
                <w:rFonts w:cstheme="minorHAnsi"/>
                <w:b/>
                <w:bCs/>
              </w:rPr>
              <w:t>100.0%</w:t>
            </w:r>
          </w:p>
        </w:tc>
        <w:tc>
          <w:tcPr>
            <w:tcW w:w="12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14CFB638" w14:textId="77777777" w:rsidR="00782190" w:rsidRDefault="00782190" w:rsidP="0098082B">
            <w:pPr>
              <w:rPr>
                <w:rFonts w:cstheme="minorHAnsi"/>
                <w:b/>
                <w:bCs/>
              </w:rPr>
            </w:pPr>
            <w:r>
              <w:rPr>
                <w:rFonts w:cstheme="minorHAnsi"/>
                <w:b/>
                <w:bCs/>
              </w:rPr>
              <w:t>0.0%</w:t>
            </w:r>
          </w:p>
        </w:tc>
        <w:tc>
          <w:tcPr>
            <w:tcW w:w="12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F8E361E" w14:textId="77777777" w:rsidR="00782190" w:rsidRDefault="00782190" w:rsidP="0098082B">
            <w:pPr>
              <w:rPr>
                <w:rFonts w:cstheme="minorHAnsi"/>
                <w:b/>
                <w:bCs/>
              </w:rPr>
            </w:pPr>
            <w:r>
              <w:rPr>
                <w:rFonts w:ascii="Calibri" w:hAnsi="Calibri"/>
                <w:color w:val="000000"/>
              </w:rPr>
              <w:t>0.0%</w:t>
            </w:r>
          </w:p>
        </w:tc>
      </w:tr>
      <w:tr w:rsidR="00782190" w14:paraId="50AC6CE4" w14:textId="77777777" w:rsidTr="0098082B">
        <w:trPr>
          <w:trHeight w:val="300"/>
        </w:trPr>
        <w:tc>
          <w:tcPr>
            <w:tcW w:w="1343"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75008077" w14:textId="77777777" w:rsidR="00782190" w:rsidRDefault="00782190" w:rsidP="0098082B">
            <w:pPr>
              <w:rPr>
                <w:rFonts w:cstheme="minorHAnsi"/>
                <w:b/>
                <w:bCs/>
              </w:rPr>
            </w:pPr>
            <w:r>
              <w:rPr>
                <w:rFonts w:cstheme="minorHAnsi"/>
                <w:b/>
                <w:bCs/>
              </w:rPr>
              <w:t>Total</w:t>
            </w:r>
          </w:p>
        </w:tc>
        <w:tc>
          <w:tcPr>
            <w:tcW w:w="1198"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2F4D5941" w14:textId="77777777" w:rsidR="00782190" w:rsidRDefault="00782190" w:rsidP="0098082B">
            <w:pPr>
              <w:rPr>
                <w:rFonts w:cstheme="minorHAnsi"/>
                <w:b/>
                <w:bCs/>
              </w:rPr>
            </w:pPr>
            <w:r>
              <w:rPr>
                <w:rFonts w:ascii="Calibri" w:hAnsi="Calibri"/>
                <w:b/>
                <w:bCs/>
                <w:color w:val="000000"/>
              </w:rPr>
              <w:t>59.7%</w:t>
            </w:r>
          </w:p>
        </w:tc>
        <w:tc>
          <w:tcPr>
            <w:tcW w:w="12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4565EE8D" w14:textId="77777777" w:rsidR="00782190" w:rsidRDefault="00782190" w:rsidP="0098082B">
            <w:pPr>
              <w:rPr>
                <w:rFonts w:cstheme="minorHAnsi"/>
                <w:b/>
                <w:bCs/>
              </w:rPr>
            </w:pPr>
            <w:r>
              <w:rPr>
                <w:rFonts w:ascii="Calibri" w:hAnsi="Calibri"/>
                <w:b/>
                <w:bCs/>
                <w:color w:val="000000"/>
              </w:rPr>
              <w:t>40.3%</w:t>
            </w:r>
          </w:p>
        </w:tc>
        <w:tc>
          <w:tcPr>
            <w:tcW w:w="1229" w:type="pc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hideMark/>
          </w:tcPr>
          <w:p w14:paraId="727D6C30" w14:textId="77777777" w:rsidR="00782190" w:rsidRDefault="00782190" w:rsidP="0098082B">
            <w:pPr>
              <w:rPr>
                <w:rFonts w:ascii="Calibri" w:hAnsi="Calibri"/>
                <w:b/>
                <w:bCs/>
                <w:color w:val="000000"/>
              </w:rPr>
            </w:pPr>
            <w:r>
              <w:rPr>
                <w:rFonts w:ascii="Calibri" w:hAnsi="Calibri"/>
                <w:color w:val="000000"/>
              </w:rPr>
              <w:t>32.2%</w:t>
            </w:r>
          </w:p>
        </w:tc>
      </w:tr>
    </w:tbl>
    <w:p w14:paraId="01DA3F9F" w14:textId="77777777" w:rsidR="00782190" w:rsidRDefault="00782190" w:rsidP="00782190">
      <w:pPr>
        <w:rPr>
          <w:rFonts w:cstheme="minorHAnsi"/>
        </w:rPr>
      </w:pPr>
    </w:p>
    <w:p w14:paraId="720A3E85" w14:textId="6E895806" w:rsidR="007268B8" w:rsidRDefault="00CC35B4" w:rsidP="00782190">
      <w:pPr>
        <w:rPr>
          <w:rFonts w:cstheme="minorHAnsi"/>
        </w:rPr>
      </w:pPr>
      <w:r>
        <w:rPr>
          <w:rFonts w:cstheme="minorHAnsi"/>
        </w:rPr>
        <w:t>H</w:t>
      </w:r>
      <w:r w:rsidR="008D4C38">
        <w:rPr>
          <w:rFonts w:cstheme="minorHAnsi"/>
        </w:rPr>
        <w:t xml:space="preserve">ouseholds were </w:t>
      </w:r>
      <w:r>
        <w:rPr>
          <w:rFonts w:cstheme="minorHAnsi"/>
        </w:rPr>
        <w:t xml:space="preserve">also </w:t>
      </w:r>
      <w:r w:rsidR="008D4C38">
        <w:rPr>
          <w:rFonts w:cstheme="minorHAnsi"/>
        </w:rPr>
        <w:t xml:space="preserve">asked to estimate if the buildings/compounds where they </w:t>
      </w:r>
      <w:r>
        <w:rPr>
          <w:rFonts w:cstheme="minorHAnsi"/>
        </w:rPr>
        <w:t>live</w:t>
      </w:r>
      <w:r w:rsidR="008D4C38">
        <w:rPr>
          <w:rFonts w:cstheme="minorHAnsi"/>
        </w:rPr>
        <w:t xml:space="preserve"> could </w:t>
      </w:r>
      <w:r w:rsidR="00352188">
        <w:rPr>
          <w:rFonts w:cstheme="minorHAnsi"/>
        </w:rPr>
        <w:t xml:space="preserve">accommodate </w:t>
      </w:r>
      <w:r w:rsidR="008D4C38">
        <w:rPr>
          <w:rFonts w:cstheme="minorHAnsi"/>
        </w:rPr>
        <w:t xml:space="preserve">more </w:t>
      </w:r>
      <w:r w:rsidR="00352188">
        <w:rPr>
          <w:rFonts w:cstheme="minorHAnsi"/>
        </w:rPr>
        <w:t>tenants</w:t>
      </w:r>
      <w:r w:rsidR="008D4C38">
        <w:rPr>
          <w:rFonts w:cstheme="minorHAnsi"/>
        </w:rPr>
        <w:t xml:space="preserve">. </w:t>
      </w:r>
      <w:r w:rsidR="00782190">
        <w:rPr>
          <w:rFonts w:cstheme="minorHAnsi"/>
        </w:rPr>
        <w:t xml:space="preserve">11.7% </w:t>
      </w:r>
      <w:r>
        <w:rPr>
          <w:rFonts w:cstheme="minorHAnsi"/>
        </w:rPr>
        <w:t>of</w:t>
      </w:r>
      <w:r w:rsidR="002D74D3">
        <w:rPr>
          <w:rFonts w:cstheme="minorHAnsi"/>
        </w:rPr>
        <w:t xml:space="preserve"> respondents indicated that their building or compound could fit additional</w:t>
      </w:r>
      <w:r w:rsidR="00B752E3">
        <w:rPr>
          <w:rFonts w:cstheme="minorHAnsi"/>
        </w:rPr>
        <w:t xml:space="preserve"> families</w:t>
      </w:r>
      <w:r w:rsidR="00304E88">
        <w:rPr>
          <w:rFonts w:cstheme="minorHAnsi"/>
        </w:rPr>
        <w:t xml:space="preserve">. </w:t>
      </w:r>
      <w:r w:rsidR="002D74D3">
        <w:rPr>
          <w:rFonts w:cstheme="minorHAnsi"/>
        </w:rPr>
        <w:t xml:space="preserve">There is significant </w:t>
      </w:r>
      <w:r w:rsidR="0086054E">
        <w:rPr>
          <w:rFonts w:cstheme="minorHAnsi"/>
        </w:rPr>
        <w:t>difference</w:t>
      </w:r>
      <w:r>
        <w:rPr>
          <w:rFonts w:cstheme="minorHAnsi"/>
        </w:rPr>
        <w:t xml:space="preserve"> between the markets </w:t>
      </w:r>
      <w:r w:rsidR="002D74D3">
        <w:rPr>
          <w:rFonts w:cstheme="minorHAnsi"/>
        </w:rPr>
        <w:t>and between housing units of different quality: m</w:t>
      </w:r>
      <w:r w:rsidR="00782190">
        <w:rPr>
          <w:rFonts w:cstheme="minorHAnsi"/>
        </w:rPr>
        <w:t>ost often the houses in</w:t>
      </w:r>
      <w:r w:rsidR="00352188">
        <w:rPr>
          <w:rFonts w:cstheme="minorHAnsi"/>
        </w:rPr>
        <w:t xml:space="preserve"> either</w:t>
      </w:r>
      <w:r w:rsidR="00782190">
        <w:rPr>
          <w:rFonts w:cstheme="minorHAnsi"/>
        </w:rPr>
        <w:t xml:space="preserve"> very poor </w:t>
      </w:r>
      <w:r w:rsidR="00352188">
        <w:rPr>
          <w:rFonts w:cstheme="minorHAnsi"/>
        </w:rPr>
        <w:t xml:space="preserve">(18.7%) or excellent (16%) </w:t>
      </w:r>
      <w:r w:rsidR="00782190">
        <w:rPr>
          <w:rFonts w:cstheme="minorHAnsi"/>
        </w:rPr>
        <w:t xml:space="preserve">condition were reported to be able to accommodate more families, whereas poor and fair quality houses could fit additional families less often (10.7% and 9.5% respectively). </w:t>
      </w:r>
    </w:p>
    <w:p w14:paraId="30F0AD40" w14:textId="77777777" w:rsidR="007268B8" w:rsidRDefault="007268B8" w:rsidP="00782190">
      <w:pPr>
        <w:rPr>
          <w:rFonts w:cstheme="minorHAnsi"/>
        </w:rPr>
      </w:pPr>
    </w:p>
    <w:p w14:paraId="2CC7739B" w14:textId="0177769C" w:rsidR="00782190" w:rsidRDefault="00782190" w:rsidP="00782190">
      <w:pPr>
        <w:rPr>
          <w:rFonts w:cstheme="minorHAnsi"/>
        </w:rPr>
      </w:pPr>
      <w:r>
        <w:rPr>
          <w:rFonts w:cstheme="minorHAnsi"/>
        </w:rPr>
        <w:t xml:space="preserve">Empty rooms were reported </w:t>
      </w:r>
      <w:r w:rsidR="002C644F">
        <w:rPr>
          <w:rFonts w:cstheme="minorHAnsi"/>
        </w:rPr>
        <w:t xml:space="preserve">to be available </w:t>
      </w:r>
      <w:r>
        <w:rPr>
          <w:rFonts w:cstheme="minorHAnsi"/>
        </w:rPr>
        <w:t xml:space="preserve">in 6.7% of the </w:t>
      </w:r>
      <w:r w:rsidR="00605CA6">
        <w:rPr>
          <w:rFonts w:cstheme="minorHAnsi"/>
        </w:rPr>
        <w:t>case</w:t>
      </w:r>
      <w:r>
        <w:rPr>
          <w:rFonts w:cstheme="minorHAnsi"/>
        </w:rPr>
        <w:t>s: most often in houses</w:t>
      </w:r>
      <w:r w:rsidR="00605CA6">
        <w:rPr>
          <w:rFonts w:cstheme="minorHAnsi"/>
        </w:rPr>
        <w:t>/compounds in</w:t>
      </w:r>
      <w:r>
        <w:rPr>
          <w:rFonts w:cstheme="minorHAnsi"/>
        </w:rPr>
        <w:t xml:space="preserve"> very poor (10.3%) or excellent condition (8%), while in poor and fair conditions empty rooms were </w:t>
      </w:r>
      <w:r w:rsidR="00605CA6">
        <w:rPr>
          <w:rFonts w:cstheme="minorHAnsi"/>
        </w:rPr>
        <w:t>reported in 6.1% and 3.7% respectively</w:t>
      </w:r>
      <w:r>
        <w:rPr>
          <w:rFonts w:cstheme="minorHAnsi"/>
        </w:rPr>
        <w:t>.</w:t>
      </w:r>
      <w:r w:rsidR="002D74D3">
        <w:rPr>
          <w:rFonts w:cstheme="minorHAnsi"/>
        </w:rPr>
        <w:t xml:space="preserve"> </w:t>
      </w:r>
    </w:p>
    <w:p w14:paraId="7AAAC7AA" w14:textId="07A09A0C" w:rsidR="00782190" w:rsidRDefault="00782190" w:rsidP="008D4C38">
      <w:pPr>
        <w:rPr>
          <w:rFonts w:cstheme="minorHAnsi"/>
        </w:rPr>
      </w:pPr>
    </w:p>
    <w:p w14:paraId="04BACB1C" w14:textId="2602D637" w:rsidR="00782190" w:rsidRDefault="00782190" w:rsidP="00782190">
      <w:pPr>
        <w:rPr>
          <w:rFonts w:cstheme="minorHAnsi"/>
        </w:rPr>
      </w:pPr>
      <w:r>
        <w:rPr>
          <w:rFonts w:cstheme="minorHAnsi"/>
        </w:rPr>
        <w:t xml:space="preserve">Whenever the building or compound had vacant rooms, the most common reason was cited </w:t>
      </w:r>
      <w:r w:rsidR="00DB5DF3">
        <w:rPr>
          <w:rFonts w:cstheme="minorHAnsi"/>
        </w:rPr>
        <w:t xml:space="preserve">that the </w:t>
      </w:r>
      <w:r>
        <w:rPr>
          <w:rFonts w:cstheme="minorHAnsi"/>
        </w:rPr>
        <w:t xml:space="preserve">space </w:t>
      </w:r>
      <w:r w:rsidR="00DB5DF3">
        <w:rPr>
          <w:rFonts w:cstheme="minorHAnsi"/>
        </w:rPr>
        <w:t xml:space="preserve">was </w:t>
      </w:r>
      <w:r>
        <w:rPr>
          <w:rFonts w:cstheme="minorHAnsi"/>
        </w:rPr>
        <w:t>inadequate for living (damaged, lacking d</w:t>
      </w:r>
      <w:r w:rsidR="0086054E">
        <w:rPr>
          <w:rFonts w:cstheme="minorHAnsi"/>
        </w:rPr>
        <w:t>oors, etc.) in 71.2 % of cases. I</w:t>
      </w:r>
      <w:r>
        <w:rPr>
          <w:rFonts w:cstheme="minorHAnsi"/>
        </w:rPr>
        <w:t>n 7.7% of cases the landlord did not want to rent it out for personal reasons (</w:t>
      </w:r>
      <w:r w:rsidR="0086054E">
        <w:rPr>
          <w:rFonts w:cstheme="minorHAnsi"/>
        </w:rPr>
        <w:t>e.g.</w:t>
      </w:r>
      <w:r>
        <w:rPr>
          <w:rFonts w:cstheme="minorHAnsi"/>
        </w:rPr>
        <w:t xml:space="preserve"> accommodating visitors); and in 4.8% </w:t>
      </w:r>
      <w:r w:rsidR="0086054E">
        <w:rPr>
          <w:rFonts w:cstheme="minorHAnsi"/>
        </w:rPr>
        <w:t xml:space="preserve">of the </w:t>
      </w:r>
      <w:r>
        <w:rPr>
          <w:rFonts w:cstheme="minorHAnsi"/>
        </w:rPr>
        <w:t xml:space="preserve">cases rental space was </w:t>
      </w:r>
      <w:r w:rsidR="00480263">
        <w:rPr>
          <w:rFonts w:cstheme="minorHAnsi"/>
        </w:rPr>
        <w:t xml:space="preserve">vacant </w:t>
      </w:r>
      <w:r>
        <w:rPr>
          <w:rFonts w:cstheme="minorHAnsi"/>
        </w:rPr>
        <w:t>between tenants.</w:t>
      </w:r>
    </w:p>
    <w:p w14:paraId="0D0E9883" w14:textId="77777777" w:rsidR="00782190" w:rsidRDefault="00782190" w:rsidP="00782190">
      <w:pPr>
        <w:rPr>
          <w:rFonts w:cstheme="minorHAnsi"/>
        </w:rPr>
      </w:pPr>
    </w:p>
    <w:p w14:paraId="48847DA5" w14:textId="74754284" w:rsidR="00480263" w:rsidRDefault="00782190" w:rsidP="00782190">
      <w:pPr>
        <w:rPr>
          <w:rFonts w:cstheme="minorHAnsi"/>
        </w:rPr>
      </w:pPr>
      <w:r>
        <w:rPr>
          <w:rFonts w:cstheme="minorHAnsi"/>
        </w:rPr>
        <w:t xml:space="preserve">The available data on the vacancy rate, obtained both from key informants and </w:t>
      </w:r>
      <w:r w:rsidR="00605CA6">
        <w:rPr>
          <w:rFonts w:cstheme="minorHAnsi"/>
        </w:rPr>
        <w:t>HH</w:t>
      </w:r>
      <w:r>
        <w:rPr>
          <w:rFonts w:cstheme="minorHAnsi"/>
        </w:rPr>
        <w:t xml:space="preserve">s still does not allow to make </w:t>
      </w:r>
      <w:r w:rsidR="002C644F">
        <w:rPr>
          <w:rFonts w:cstheme="minorHAnsi"/>
        </w:rPr>
        <w:t xml:space="preserve">definite </w:t>
      </w:r>
      <w:r>
        <w:rPr>
          <w:rFonts w:cstheme="minorHAnsi"/>
        </w:rPr>
        <w:t>conclusions</w:t>
      </w:r>
      <w:r w:rsidR="007268B8">
        <w:rPr>
          <w:rFonts w:cstheme="minorHAnsi"/>
        </w:rPr>
        <w:t xml:space="preserve"> regarding housing availability.</w:t>
      </w:r>
      <w:r>
        <w:rPr>
          <w:rFonts w:cstheme="minorHAnsi"/>
        </w:rPr>
        <w:t xml:space="preserve"> </w:t>
      </w:r>
      <w:r w:rsidR="007268B8">
        <w:rPr>
          <w:rFonts w:cstheme="minorHAnsi"/>
        </w:rPr>
        <w:t>A v</w:t>
      </w:r>
      <w:r>
        <w:rPr>
          <w:rFonts w:cstheme="minorHAnsi"/>
        </w:rPr>
        <w:t>acancy rate of over 30%</w:t>
      </w:r>
      <w:r w:rsidR="007268B8">
        <w:rPr>
          <w:rFonts w:cstheme="minorHAnsi"/>
        </w:rPr>
        <w:t xml:space="preserve"> for some locations</w:t>
      </w:r>
      <w:r>
        <w:rPr>
          <w:rFonts w:cstheme="minorHAnsi"/>
        </w:rPr>
        <w:t xml:space="preserve"> signifies </w:t>
      </w:r>
      <w:r w:rsidR="00480263">
        <w:rPr>
          <w:rFonts w:cstheme="minorHAnsi"/>
        </w:rPr>
        <w:t>significant</w:t>
      </w:r>
      <w:r>
        <w:rPr>
          <w:rFonts w:cstheme="minorHAnsi"/>
        </w:rPr>
        <w:t xml:space="preserve"> availability of </w:t>
      </w:r>
      <w:r w:rsidR="007268B8">
        <w:rPr>
          <w:rFonts w:cstheme="minorHAnsi"/>
        </w:rPr>
        <w:t>housing on the market.</w:t>
      </w:r>
      <w:r>
        <w:rPr>
          <w:rFonts w:cstheme="minorHAnsi"/>
        </w:rPr>
        <w:t xml:space="preserve"> </w:t>
      </w:r>
      <w:r w:rsidR="007268B8">
        <w:rPr>
          <w:rFonts w:cstheme="minorHAnsi"/>
        </w:rPr>
        <w:t>On the other extreme, t</w:t>
      </w:r>
      <w:r>
        <w:rPr>
          <w:rFonts w:cstheme="minorHAnsi"/>
        </w:rPr>
        <w:t xml:space="preserve">he fact that in certain locations no vacancies were reported </w:t>
      </w:r>
      <w:r w:rsidR="007268B8">
        <w:rPr>
          <w:rFonts w:cstheme="minorHAnsi"/>
        </w:rPr>
        <w:t>indicates that</w:t>
      </w:r>
      <w:r>
        <w:rPr>
          <w:rFonts w:cstheme="minorHAnsi"/>
        </w:rPr>
        <w:t xml:space="preserve"> at least in some market segments a deficit of suitable housing may be felt.</w:t>
      </w:r>
      <w:r w:rsidR="00480263">
        <w:rPr>
          <w:rFonts w:cstheme="minorHAnsi"/>
        </w:rPr>
        <w:t xml:space="preserve"> As </w:t>
      </w:r>
      <w:r>
        <w:rPr>
          <w:rFonts w:cstheme="minorHAnsi"/>
        </w:rPr>
        <w:t>the respondents reported vacant rooms and empty space in either very poor or excellent housing could mean that the supply in the lower and the upper brackets of the housing market is ample, while the medium brackets of housing market may experience deficit of housing.</w:t>
      </w:r>
      <w:r w:rsidR="007268B8">
        <w:rPr>
          <w:rFonts w:cstheme="minorHAnsi"/>
        </w:rPr>
        <w:t xml:space="preserve"> </w:t>
      </w:r>
    </w:p>
    <w:p w14:paraId="6979A920" w14:textId="77777777" w:rsidR="00782190" w:rsidRDefault="00782190" w:rsidP="00782190">
      <w:pPr>
        <w:rPr>
          <w:rFonts w:cstheme="minorHAnsi"/>
        </w:rPr>
      </w:pPr>
    </w:p>
    <w:p w14:paraId="4E2705A7" w14:textId="3CEE3AAC" w:rsidR="00782190" w:rsidRDefault="00480263" w:rsidP="00782190">
      <w:pPr>
        <w:rPr>
          <w:rFonts w:cstheme="minorHAnsi"/>
        </w:rPr>
      </w:pPr>
      <w:r w:rsidRPr="00565D02">
        <w:rPr>
          <w:rFonts w:cstheme="minorHAnsi"/>
        </w:rPr>
        <w:t>Th</w:t>
      </w:r>
      <w:r w:rsidR="00565D02">
        <w:rPr>
          <w:rFonts w:cstheme="minorHAnsi"/>
        </w:rPr>
        <w:t>ese findings are</w:t>
      </w:r>
      <w:r w:rsidRPr="00565D02">
        <w:rPr>
          <w:rFonts w:cstheme="minorHAnsi"/>
        </w:rPr>
        <w:t xml:space="preserve"> consistent with s</w:t>
      </w:r>
      <w:r w:rsidR="00782190" w:rsidRPr="00565D02">
        <w:rPr>
          <w:rFonts w:cstheme="minorHAnsi"/>
        </w:rPr>
        <w:t>econdary data</w:t>
      </w:r>
      <w:r w:rsidRPr="00565D02">
        <w:rPr>
          <w:rFonts w:cstheme="minorHAnsi"/>
        </w:rPr>
        <w:t xml:space="preserve">, </w:t>
      </w:r>
      <w:r w:rsidR="007F18B5">
        <w:rPr>
          <w:rFonts w:cstheme="minorHAnsi"/>
        </w:rPr>
        <w:t xml:space="preserve">indicating </w:t>
      </w:r>
      <w:r w:rsidR="00782190" w:rsidRPr="00565D02">
        <w:rPr>
          <w:rFonts w:cstheme="minorHAnsi"/>
        </w:rPr>
        <w:t xml:space="preserve">a chronic </w:t>
      </w:r>
      <w:r w:rsidR="00565D02">
        <w:rPr>
          <w:rFonts w:cstheme="minorHAnsi"/>
        </w:rPr>
        <w:t>shortage</w:t>
      </w:r>
      <w:r w:rsidR="00A14E63">
        <w:rPr>
          <w:rFonts w:cstheme="minorHAnsi"/>
        </w:rPr>
        <w:t xml:space="preserve"> of suitable accommodation with a</w:t>
      </w:r>
      <w:r w:rsidR="00782190" w:rsidRPr="00565D02">
        <w:rPr>
          <w:rFonts w:cstheme="minorHAnsi"/>
        </w:rPr>
        <w:t xml:space="preserve"> </w:t>
      </w:r>
      <w:r w:rsidR="00A14E63">
        <w:rPr>
          <w:rFonts w:cstheme="minorHAnsi"/>
        </w:rPr>
        <w:t>N</w:t>
      </w:r>
      <w:r w:rsidR="00782190" w:rsidRPr="00565D02">
        <w:rPr>
          <w:rFonts w:cstheme="minorHAnsi"/>
        </w:rPr>
        <w:t xml:space="preserve">ational Housing Deficit estimated </w:t>
      </w:r>
      <w:r w:rsidR="00A14E63">
        <w:rPr>
          <w:rFonts w:cstheme="minorHAnsi"/>
        </w:rPr>
        <w:t xml:space="preserve">in 2015 </w:t>
      </w:r>
      <w:r w:rsidR="00782190" w:rsidRPr="00565D02">
        <w:rPr>
          <w:rFonts w:cstheme="minorHAnsi"/>
        </w:rPr>
        <w:t>at 137,170 urban units and 1,362,830 rural</w:t>
      </w:r>
      <w:r w:rsidR="00A14E63">
        <w:rPr>
          <w:rFonts w:cstheme="minorHAnsi"/>
        </w:rPr>
        <w:t xml:space="preserve"> units</w:t>
      </w:r>
      <w:r w:rsidR="00782190" w:rsidRPr="00565D02">
        <w:rPr>
          <w:rStyle w:val="FootnoteReference"/>
          <w:rFonts w:cstheme="minorHAnsi"/>
        </w:rPr>
        <w:t xml:space="preserve"> </w:t>
      </w:r>
      <w:r w:rsidR="00782190" w:rsidRPr="00565D02">
        <w:rPr>
          <w:rStyle w:val="FootnoteReference"/>
          <w:rFonts w:cstheme="minorHAnsi"/>
        </w:rPr>
        <w:footnoteReference w:id="23"/>
      </w:r>
      <w:r w:rsidR="00782190" w:rsidRPr="00565D02">
        <w:rPr>
          <w:rFonts w:cstheme="minorHAnsi"/>
        </w:rPr>
        <w:t xml:space="preserve">. </w:t>
      </w:r>
      <w:r w:rsidR="00565D02">
        <w:rPr>
          <w:rFonts w:cstheme="minorHAnsi"/>
        </w:rPr>
        <w:t>This is exacerbated</w:t>
      </w:r>
      <w:r w:rsidR="00782190" w:rsidRPr="00565D02">
        <w:rPr>
          <w:rFonts w:cstheme="minorHAnsi"/>
        </w:rPr>
        <w:t xml:space="preserve"> in a country with such significant population movements, due to both displacement and</w:t>
      </w:r>
      <w:r w:rsidR="00E71CCB" w:rsidRPr="00565D02">
        <w:rPr>
          <w:rFonts w:cstheme="minorHAnsi"/>
        </w:rPr>
        <w:t xml:space="preserve"> urbanization, as Afghanistan.</w:t>
      </w:r>
      <w:r w:rsidR="00E71CCB">
        <w:rPr>
          <w:rFonts w:cstheme="minorHAnsi"/>
        </w:rPr>
        <w:t xml:space="preserve"> </w:t>
      </w:r>
    </w:p>
    <w:p w14:paraId="541A3719" w14:textId="21BF9B77" w:rsidR="00FB5D1F" w:rsidRDefault="00FB5D1F" w:rsidP="00FB5D1F">
      <w:pPr>
        <w:rPr>
          <w:rFonts w:cstheme="minorHAnsi"/>
          <w:bCs/>
          <w:shd w:val="clear" w:color="auto" w:fill="FFFFFF"/>
        </w:rPr>
      </w:pPr>
    </w:p>
    <w:p w14:paraId="559EB4FA" w14:textId="6442A6EE" w:rsidR="00133B17" w:rsidRDefault="00AF2C3D" w:rsidP="00782190">
      <w:pPr>
        <w:rPr>
          <w:rFonts w:cstheme="minorHAnsi"/>
          <w:bCs/>
          <w:shd w:val="clear" w:color="auto" w:fill="FFFFFF"/>
        </w:rPr>
      </w:pPr>
      <w:r>
        <w:rPr>
          <w:rFonts w:cstheme="minorHAnsi"/>
          <w:bCs/>
          <w:shd w:val="clear" w:color="auto" w:fill="FFFFFF"/>
        </w:rPr>
        <w:t xml:space="preserve">In Afghanistan context of large-scale displacement, </w:t>
      </w:r>
      <w:r w:rsidR="00FB5D1F">
        <w:rPr>
          <w:rFonts w:cstheme="minorHAnsi"/>
          <w:bCs/>
          <w:shd w:val="clear" w:color="auto" w:fill="FFFFFF"/>
        </w:rPr>
        <w:t xml:space="preserve">it </w:t>
      </w:r>
      <w:r>
        <w:rPr>
          <w:rFonts w:cstheme="minorHAnsi"/>
          <w:bCs/>
          <w:shd w:val="clear" w:color="auto" w:fill="FFFFFF"/>
        </w:rPr>
        <w:t xml:space="preserve">may be </w:t>
      </w:r>
      <w:r w:rsidR="00FB5D1F">
        <w:rPr>
          <w:rFonts w:cstheme="minorHAnsi"/>
          <w:bCs/>
          <w:shd w:val="clear" w:color="auto" w:fill="FFFFFF"/>
        </w:rPr>
        <w:t xml:space="preserve">expected that with low vacancy rates (housing deficit) landlords/owners </w:t>
      </w:r>
      <w:r>
        <w:rPr>
          <w:rFonts w:cstheme="minorHAnsi"/>
          <w:bCs/>
          <w:shd w:val="clear" w:color="auto" w:fill="FFFFFF"/>
        </w:rPr>
        <w:t>w</w:t>
      </w:r>
      <w:r w:rsidR="00FB5D1F">
        <w:rPr>
          <w:rFonts w:cstheme="minorHAnsi"/>
          <w:bCs/>
          <w:shd w:val="clear" w:color="auto" w:fill="FFFFFF"/>
        </w:rPr>
        <w:t>ould become more ‘selective’ on who to rent, which could result in open or hidden discrimination against specific groups. Thus, deficit of housing stock could disproportionally affect displaced families (IDPs and returnees without access to land o</w:t>
      </w:r>
      <w:r w:rsidR="00B1237A">
        <w:rPr>
          <w:rFonts w:cstheme="minorHAnsi"/>
          <w:bCs/>
          <w:shd w:val="clear" w:color="auto" w:fill="FFFFFF"/>
        </w:rPr>
        <w:t xml:space="preserve">r other shelter alternatives). </w:t>
      </w:r>
    </w:p>
    <w:p w14:paraId="3DA5803C" w14:textId="77777777" w:rsidR="007F18B5" w:rsidRPr="00B1237A" w:rsidRDefault="007F18B5" w:rsidP="00782190">
      <w:pPr>
        <w:rPr>
          <w:rFonts w:cstheme="minorHAnsi"/>
          <w:bCs/>
          <w:shd w:val="clear" w:color="auto" w:fill="FFFFFF"/>
        </w:rPr>
      </w:pPr>
    </w:p>
    <w:p w14:paraId="03413226" w14:textId="6C0AE7F4" w:rsidR="00782190" w:rsidRPr="00207AF0" w:rsidRDefault="00782190" w:rsidP="00782190">
      <w:pPr>
        <w:rPr>
          <w:rFonts w:cstheme="minorHAnsi"/>
        </w:rPr>
      </w:pPr>
      <w:r>
        <w:rPr>
          <w:rFonts w:cstheme="minorHAnsi"/>
        </w:rPr>
        <w:t xml:space="preserve">An additional </w:t>
      </w:r>
      <w:r w:rsidR="00AF2C3D">
        <w:rPr>
          <w:rFonts w:cstheme="minorHAnsi"/>
        </w:rPr>
        <w:t xml:space="preserve">indicator </w:t>
      </w:r>
      <w:r>
        <w:rPr>
          <w:rFonts w:cstheme="minorHAnsi"/>
        </w:rPr>
        <w:t>of housing supply elasticity relates to the possibility to expand existing units, add</w:t>
      </w:r>
      <w:r w:rsidR="00480263">
        <w:rPr>
          <w:rFonts w:cstheme="minorHAnsi"/>
        </w:rPr>
        <w:t>ing</w:t>
      </w:r>
      <w:r>
        <w:rPr>
          <w:rFonts w:cstheme="minorHAnsi"/>
        </w:rPr>
        <w:t xml:space="preserve"> additional rooms </w:t>
      </w:r>
      <w:r w:rsidR="00480263">
        <w:rPr>
          <w:rFonts w:cstheme="minorHAnsi"/>
        </w:rPr>
        <w:t>in</w:t>
      </w:r>
      <w:r>
        <w:rPr>
          <w:rFonts w:cstheme="minorHAnsi"/>
        </w:rPr>
        <w:t xml:space="preserve"> already existing compounds. Among key informants 11.7% reported that they could potentially expand the existing structures. Respondents from interviewed households were more optimistic: almost one fourth (23.4%) reported that </w:t>
      </w:r>
      <w:r w:rsidR="00480263">
        <w:rPr>
          <w:rFonts w:cstheme="minorHAnsi"/>
        </w:rPr>
        <w:t xml:space="preserve">their house/compound </w:t>
      </w:r>
      <w:r>
        <w:rPr>
          <w:rFonts w:cstheme="minorHAnsi"/>
        </w:rPr>
        <w:t xml:space="preserve">could be </w:t>
      </w:r>
      <w:r w:rsidR="00480263">
        <w:rPr>
          <w:rFonts w:cstheme="minorHAnsi"/>
        </w:rPr>
        <w:t>expanded</w:t>
      </w:r>
      <w:r>
        <w:rPr>
          <w:rFonts w:cstheme="minorHAnsi"/>
        </w:rPr>
        <w:t xml:space="preserve"> (19.3% of female respondents, 27.4% of male respondents). Interestingly, both the housing in excellent condition and the housing in very poor condition were most often believed to be expandable: 30% for </w:t>
      </w:r>
      <w:r w:rsidR="00453D8E">
        <w:rPr>
          <w:rFonts w:cstheme="minorHAnsi"/>
        </w:rPr>
        <w:t>“</w:t>
      </w:r>
      <w:r>
        <w:rPr>
          <w:rFonts w:cstheme="minorHAnsi"/>
        </w:rPr>
        <w:t>very poor</w:t>
      </w:r>
      <w:r w:rsidR="00453D8E">
        <w:rPr>
          <w:rFonts w:cstheme="minorHAnsi"/>
        </w:rPr>
        <w:t>”</w:t>
      </w:r>
      <w:r>
        <w:rPr>
          <w:rFonts w:cstheme="minorHAnsi"/>
        </w:rPr>
        <w:t xml:space="preserve"> housing, 32% for </w:t>
      </w:r>
      <w:r w:rsidR="00453D8E">
        <w:rPr>
          <w:rFonts w:cstheme="minorHAnsi"/>
        </w:rPr>
        <w:t>“</w:t>
      </w:r>
      <w:r>
        <w:rPr>
          <w:rFonts w:cstheme="minorHAnsi"/>
        </w:rPr>
        <w:t>excellent</w:t>
      </w:r>
      <w:r w:rsidR="00453D8E">
        <w:rPr>
          <w:rFonts w:cstheme="minorHAnsi"/>
        </w:rPr>
        <w:t>”</w:t>
      </w:r>
      <w:r>
        <w:rPr>
          <w:rFonts w:cstheme="minorHAnsi"/>
        </w:rPr>
        <w:t xml:space="preserve"> housing, but 22% for </w:t>
      </w:r>
      <w:r w:rsidR="00453D8E">
        <w:rPr>
          <w:rFonts w:cstheme="minorHAnsi"/>
        </w:rPr>
        <w:t>“</w:t>
      </w:r>
      <w:r>
        <w:rPr>
          <w:rFonts w:cstheme="minorHAnsi"/>
        </w:rPr>
        <w:t>poor</w:t>
      </w:r>
      <w:r w:rsidR="00453D8E">
        <w:rPr>
          <w:rFonts w:cstheme="minorHAnsi"/>
        </w:rPr>
        <w:t>” quality</w:t>
      </w:r>
      <w:r>
        <w:rPr>
          <w:rFonts w:cstheme="minorHAnsi"/>
        </w:rPr>
        <w:t xml:space="preserve"> housing and 21% for </w:t>
      </w:r>
      <w:r w:rsidR="00453D8E">
        <w:rPr>
          <w:rFonts w:cstheme="minorHAnsi"/>
        </w:rPr>
        <w:t>“</w:t>
      </w:r>
      <w:r>
        <w:rPr>
          <w:rFonts w:cstheme="minorHAnsi"/>
        </w:rPr>
        <w:t>fair</w:t>
      </w:r>
      <w:r w:rsidR="00453D8E">
        <w:rPr>
          <w:rFonts w:cstheme="minorHAnsi"/>
        </w:rPr>
        <w:t>”</w:t>
      </w:r>
      <w:r>
        <w:rPr>
          <w:rFonts w:cstheme="minorHAnsi"/>
        </w:rPr>
        <w:t xml:space="preserve"> housing.  </w:t>
      </w:r>
    </w:p>
    <w:p w14:paraId="772D9D10" w14:textId="0F7308F0" w:rsidR="00782190" w:rsidRDefault="00A36531" w:rsidP="00A36531">
      <w:pPr>
        <w:tabs>
          <w:tab w:val="left" w:pos="2390"/>
        </w:tabs>
        <w:rPr>
          <w:rFonts w:cstheme="minorHAnsi"/>
          <w:bCs/>
          <w:shd w:val="clear" w:color="auto" w:fill="FFFFFF"/>
        </w:rPr>
      </w:pPr>
      <w:r>
        <w:rPr>
          <w:rFonts w:cstheme="minorHAnsi"/>
          <w:bCs/>
          <w:shd w:val="clear" w:color="auto" w:fill="FFFFFF"/>
        </w:rPr>
        <w:tab/>
      </w:r>
    </w:p>
    <w:p w14:paraId="381AC374" w14:textId="17216BC3" w:rsidR="000C380A" w:rsidRDefault="00782190" w:rsidP="00782190">
      <w:pPr>
        <w:rPr>
          <w:rFonts w:cstheme="minorHAnsi"/>
        </w:rPr>
      </w:pPr>
      <w:r>
        <w:rPr>
          <w:rFonts w:cstheme="minorHAnsi"/>
        </w:rPr>
        <w:t>While physical availabil</w:t>
      </w:r>
      <w:r w:rsidR="00A4686E">
        <w:rPr>
          <w:rFonts w:cstheme="minorHAnsi"/>
        </w:rPr>
        <w:t>ity of rental units is key</w:t>
      </w:r>
      <w:r>
        <w:rPr>
          <w:rFonts w:cstheme="minorHAnsi"/>
        </w:rPr>
        <w:t xml:space="preserve"> concern for the success of a CfR intervention, affordability of housing is an even mo</w:t>
      </w:r>
      <w:r w:rsidR="00A4686E">
        <w:rPr>
          <w:rFonts w:cstheme="minorHAnsi"/>
        </w:rPr>
        <w:t>re important issue. Respondents indicated</w:t>
      </w:r>
      <w:r>
        <w:rPr>
          <w:rFonts w:cstheme="minorHAnsi"/>
        </w:rPr>
        <w:t xml:space="preserve"> </w:t>
      </w:r>
      <w:r w:rsidR="00A4686E">
        <w:rPr>
          <w:rFonts w:cstheme="minorHAnsi"/>
        </w:rPr>
        <w:t>that</w:t>
      </w:r>
      <w:r w:rsidR="00AF4042">
        <w:rPr>
          <w:rFonts w:cstheme="minorHAnsi"/>
        </w:rPr>
        <w:t xml:space="preserve"> </w:t>
      </w:r>
      <w:r>
        <w:rPr>
          <w:rFonts w:cstheme="minorHAnsi"/>
        </w:rPr>
        <w:t>price was a more significant issue than availability of housing (</w:t>
      </w:r>
      <w:r w:rsidR="00A851A9">
        <w:rPr>
          <w:rFonts w:cstheme="minorHAnsi"/>
        </w:rPr>
        <w:fldChar w:fldCharType="begin"/>
      </w:r>
      <w:r w:rsidR="00A851A9">
        <w:rPr>
          <w:rFonts w:cstheme="minorHAnsi"/>
        </w:rPr>
        <w:instrText xml:space="preserve"> REF _Ref523225645 \h </w:instrText>
      </w:r>
      <w:r w:rsidR="00A851A9">
        <w:rPr>
          <w:rFonts w:cstheme="minorHAnsi"/>
        </w:rPr>
      </w:r>
      <w:r w:rsidR="00A851A9">
        <w:rPr>
          <w:rFonts w:cstheme="minorHAnsi"/>
        </w:rPr>
        <w:fldChar w:fldCharType="separate"/>
      </w:r>
      <w:r w:rsidR="00FE0B97">
        <w:t xml:space="preserve">Table </w:t>
      </w:r>
      <w:r w:rsidR="00FE0B97">
        <w:rPr>
          <w:noProof/>
        </w:rPr>
        <w:t>6</w:t>
      </w:r>
      <w:r w:rsidR="00A851A9">
        <w:rPr>
          <w:rFonts w:cstheme="minorHAnsi"/>
        </w:rPr>
        <w:fldChar w:fldCharType="end"/>
      </w:r>
      <w:r>
        <w:rPr>
          <w:rFonts w:cstheme="minorHAnsi"/>
        </w:rPr>
        <w:t xml:space="preserve">): while </w:t>
      </w:r>
      <w:r w:rsidR="00AF4042">
        <w:rPr>
          <w:rFonts w:cstheme="minorHAnsi"/>
        </w:rPr>
        <w:t xml:space="preserve">on the average </w:t>
      </w:r>
      <w:r w:rsidR="00FA13DD">
        <w:rPr>
          <w:rFonts w:cstheme="minorHAnsi"/>
        </w:rPr>
        <w:t xml:space="preserve">(across locations) </w:t>
      </w:r>
      <w:r>
        <w:rPr>
          <w:rFonts w:cstheme="minorHAnsi"/>
        </w:rPr>
        <w:t xml:space="preserve">only 3.9% mentioned that they found it difficult to find housing 26.4% of respondents mentioned that it was difficult to find </w:t>
      </w:r>
      <w:r>
        <w:rPr>
          <w:rFonts w:cstheme="minorHAnsi"/>
          <w:i/>
        </w:rPr>
        <w:t>affordable</w:t>
      </w:r>
      <w:r>
        <w:rPr>
          <w:rFonts w:cstheme="minorHAnsi"/>
        </w:rPr>
        <w:t xml:space="preserve"> shelter (up to 36.2% in Surkhrod district). </w:t>
      </w:r>
    </w:p>
    <w:p w14:paraId="1485C080" w14:textId="53587B25" w:rsidR="00782190" w:rsidRDefault="00861A22" w:rsidP="00861A22">
      <w:pPr>
        <w:tabs>
          <w:tab w:val="left" w:pos="3590"/>
        </w:tabs>
        <w:rPr>
          <w:rFonts w:cstheme="minorHAnsi"/>
        </w:rPr>
      </w:pPr>
      <w:r>
        <w:rPr>
          <w:rFonts w:cstheme="minorHAnsi"/>
        </w:rPr>
        <w:tab/>
      </w:r>
    </w:p>
    <w:p w14:paraId="6A36AF16" w14:textId="03269F58" w:rsidR="00782190" w:rsidRDefault="00782190" w:rsidP="00782190">
      <w:pPr>
        <w:pStyle w:val="Caption"/>
        <w:keepNext/>
      </w:pPr>
      <w:bookmarkStart w:id="27" w:name="_Ref523225645"/>
      <w:r>
        <w:t xml:space="preserve">Table </w:t>
      </w:r>
      <w:r>
        <w:fldChar w:fldCharType="begin"/>
      </w:r>
      <w:r>
        <w:rPr>
          <w:noProof/>
        </w:rPr>
        <w:instrText xml:space="preserve"> SEQ Table \* ARABIC </w:instrText>
      </w:r>
      <w:r>
        <w:fldChar w:fldCharType="separate"/>
      </w:r>
      <w:r w:rsidR="002D4726">
        <w:rPr>
          <w:noProof/>
        </w:rPr>
        <w:t>6</w:t>
      </w:r>
      <w:r>
        <w:fldChar w:fldCharType="end"/>
      </w:r>
      <w:bookmarkEnd w:id="27"/>
      <w:r>
        <w:t xml:space="preserve"> Problems finding shelter reported by households</w:t>
      </w:r>
    </w:p>
    <w:tbl>
      <w:tblPr>
        <w:tblW w:w="10214" w:type="dxa"/>
        <w:tblLayout w:type="fixed"/>
        <w:tblLook w:val="04A0" w:firstRow="1" w:lastRow="0" w:firstColumn="1" w:lastColumn="0" w:noHBand="0" w:noVBand="1"/>
      </w:tblPr>
      <w:tblGrid>
        <w:gridCol w:w="1129"/>
        <w:gridCol w:w="1206"/>
        <w:gridCol w:w="1417"/>
        <w:gridCol w:w="1418"/>
        <w:gridCol w:w="1417"/>
        <w:gridCol w:w="1418"/>
        <w:gridCol w:w="2209"/>
      </w:tblGrid>
      <w:tr w:rsidR="00782190" w14:paraId="064D5B61" w14:textId="77777777" w:rsidTr="00FA13DD">
        <w:trPr>
          <w:trHeight w:val="432"/>
        </w:trPr>
        <w:tc>
          <w:tcPr>
            <w:tcW w:w="1129"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EE7CEDC" w14:textId="77777777" w:rsidR="00782190" w:rsidRPr="00FA13DD" w:rsidRDefault="00782190" w:rsidP="00FA13DD">
            <w:pPr>
              <w:jc w:val="left"/>
              <w:rPr>
                <w:rFonts w:cstheme="minorHAnsi"/>
                <w:sz w:val="18"/>
                <w:szCs w:val="18"/>
              </w:rPr>
            </w:pPr>
            <w:r w:rsidRPr="00FA13DD">
              <w:rPr>
                <w:rFonts w:cstheme="minorHAnsi"/>
                <w:sz w:val="18"/>
                <w:szCs w:val="18"/>
              </w:rPr>
              <w:t>Market</w:t>
            </w:r>
          </w:p>
        </w:tc>
        <w:tc>
          <w:tcPr>
            <w:tcW w:w="1206"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hideMark/>
          </w:tcPr>
          <w:p w14:paraId="2DF7AF08" w14:textId="77777777" w:rsidR="00782190" w:rsidRDefault="00782190" w:rsidP="0098082B">
            <w:pPr>
              <w:rPr>
                <w:rFonts w:cstheme="minorHAnsi"/>
                <w:b/>
                <w:bCs/>
                <w:sz w:val="18"/>
                <w:szCs w:val="18"/>
              </w:rPr>
            </w:pPr>
            <w:r>
              <w:rPr>
                <w:rFonts w:cstheme="minorHAnsi"/>
                <w:b/>
                <w:bCs/>
                <w:sz w:val="18"/>
                <w:szCs w:val="18"/>
              </w:rPr>
              <w:t>No issues finding accommodation</w:t>
            </w:r>
          </w:p>
        </w:tc>
        <w:tc>
          <w:tcPr>
            <w:tcW w:w="7879" w:type="dxa"/>
            <w:gridSpan w:val="5"/>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20288F8" w14:textId="77777777" w:rsidR="00782190" w:rsidRDefault="00782190" w:rsidP="00FA13DD">
            <w:pPr>
              <w:jc w:val="center"/>
              <w:rPr>
                <w:rFonts w:cstheme="minorHAnsi"/>
                <w:b/>
                <w:bCs/>
                <w:sz w:val="18"/>
                <w:szCs w:val="18"/>
              </w:rPr>
            </w:pPr>
            <w:r>
              <w:rPr>
                <w:rFonts w:cstheme="minorHAnsi"/>
                <w:b/>
                <w:bCs/>
                <w:sz w:val="18"/>
                <w:szCs w:val="18"/>
              </w:rPr>
              <w:t>Experienced problems finding accommodation</w:t>
            </w:r>
          </w:p>
        </w:tc>
      </w:tr>
      <w:tr w:rsidR="00782190" w14:paraId="2D52C3C9" w14:textId="77777777" w:rsidTr="00FA13DD">
        <w:trPr>
          <w:trHeight w:val="300"/>
        </w:trPr>
        <w:tc>
          <w:tcPr>
            <w:tcW w:w="1129"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B73E13" w14:textId="77777777" w:rsidR="00782190" w:rsidRPr="00FA13DD" w:rsidRDefault="00782190" w:rsidP="00FA13DD">
            <w:pPr>
              <w:jc w:val="left"/>
              <w:rPr>
                <w:rFonts w:cstheme="minorHAnsi"/>
                <w:sz w:val="18"/>
                <w:szCs w:val="18"/>
              </w:rPr>
            </w:pPr>
          </w:p>
        </w:tc>
        <w:tc>
          <w:tcPr>
            <w:tcW w:w="1206"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0D554B0" w14:textId="77777777" w:rsidR="00782190" w:rsidRDefault="00782190" w:rsidP="0098082B">
            <w:pPr>
              <w:jc w:val="left"/>
              <w:rPr>
                <w:rFonts w:cstheme="minorHAnsi"/>
                <w:b/>
                <w:bCs/>
                <w:sz w:val="18"/>
                <w:szCs w:val="18"/>
              </w:rPr>
            </w:pP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31ED275" w14:textId="3025181D" w:rsidR="00782190" w:rsidRDefault="00782190" w:rsidP="00FA13DD">
            <w:pPr>
              <w:jc w:val="center"/>
              <w:rPr>
                <w:rFonts w:cstheme="minorHAnsi"/>
                <w:b/>
                <w:bCs/>
                <w:sz w:val="18"/>
                <w:szCs w:val="18"/>
              </w:rPr>
            </w:pPr>
            <w:r>
              <w:rPr>
                <w:rFonts w:cstheme="minorHAnsi"/>
                <w:b/>
                <w:bCs/>
                <w:sz w:val="18"/>
                <w:szCs w:val="18"/>
              </w:rPr>
              <w:t>First time renting</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07CA959" w14:textId="727F6336" w:rsidR="00782190" w:rsidRDefault="00782190" w:rsidP="00FA13DD">
            <w:pPr>
              <w:jc w:val="center"/>
              <w:rPr>
                <w:rFonts w:cstheme="minorHAnsi"/>
                <w:b/>
                <w:bCs/>
                <w:sz w:val="18"/>
                <w:szCs w:val="18"/>
              </w:rPr>
            </w:pPr>
            <w:r>
              <w:rPr>
                <w:rFonts w:cstheme="minorHAnsi"/>
                <w:b/>
                <w:bCs/>
                <w:sz w:val="18"/>
                <w:szCs w:val="18"/>
              </w:rPr>
              <w:t>No available shelter</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97982D1" w14:textId="1C0DFA84" w:rsidR="00782190" w:rsidRDefault="00782190" w:rsidP="00FA13DD">
            <w:pPr>
              <w:jc w:val="center"/>
              <w:rPr>
                <w:rFonts w:cstheme="minorHAnsi"/>
                <w:b/>
                <w:bCs/>
                <w:sz w:val="18"/>
                <w:szCs w:val="18"/>
              </w:rPr>
            </w:pPr>
            <w:r>
              <w:rPr>
                <w:rFonts w:cstheme="minorHAnsi"/>
                <w:b/>
                <w:bCs/>
                <w:sz w:val="18"/>
                <w:szCs w:val="18"/>
              </w:rPr>
              <w:t>People do not want to rent to me</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59C4A57" w14:textId="5F506302" w:rsidR="00782190" w:rsidRDefault="00782190" w:rsidP="00FA13DD">
            <w:pPr>
              <w:jc w:val="center"/>
              <w:rPr>
                <w:rFonts w:cstheme="minorHAnsi"/>
                <w:b/>
                <w:bCs/>
                <w:sz w:val="18"/>
                <w:szCs w:val="18"/>
              </w:rPr>
            </w:pPr>
            <w:r>
              <w:rPr>
                <w:rFonts w:cstheme="minorHAnsi"/>
                <w:b/>
                <w:bCs/>
                <w:sz w:val="18"/>
                <w:szCs w:val="18"/>
              </w:rPr>
              <w:t>Shelter too expensive</w:t>
            </w:r>
          </w:p>
        </w:tc>
        <w:tc>
          <w:tcPr>
            <w:tcW w:w="22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7DCD136" w14:textId="10824A20" w:rsidR="00782190" w:rsidRDefault="00FB5D1F" w:rsidP="00FA13DD">
            <w:pPr>
              <w:jc w:val="center"/>
              <w:rPr>
                <w:rFonts w:cstheme="minorHAnsi"/>
                <w:b/>
                <w:bCs/>
                <w:sz w:val="18"/>
                <w:szCs w:val="18"/>
              </w:rPr>
            </w:pPr>
            <w:r>
              <w:rPr>
                <w:rFonts w:cstheme="minorHAnsi"/>
                <w:b/>
                <w:bCs/>
                <w:sz w:val="18"/>
                <w:szCs w:val="18"/>
              </w:rPr>
              <w:t xml:space="preserve">Proportion of households that  </w:t>
            </w:r>
            <w:r w:rsidR="00782190">
              <w:rPr>
                <w:rFonts w:cstheme="minorHAnsi"/>
                <w:b/>
                <w:bCs/>
                <w:sz w:val="18"/>
                <w:szCs w:val="18"/>
              </w:rPr>
              <w:t>experienced problems</w:t>
            </w:r>
          </w:p>
        </w:tc>
      </w:tr>
      <w:tr w:rsidR="00782190" w14:paraId="6FDD023A" w14:textId="77777777" w:rsidTr="00FA13DD">
        <w:trPr>
          <w:trHeight w:val="245"/>
        </w:trPr>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B2DAE37" w14:textId="77777777" w:rsidR="00782190" w:rsidRPr="00FA13DD" w:rsidRDefault="00782190" w:rsidP="00FA13DD">
            <w:pPr>
              <w:jc w:val="left"/>
              <w:rPr>
                <w:rFonts w:cstheme="minorHAnsi"/>
                <w:b/>
                <w:bCs/>
                <w:sz w:val="18"/>
                <w:szCs w:val="18"/>
              </w:rPr>
            </w:pPr>
            <w:r w:rsidRPr="00FA13DD">
              <w:rPr>
                <w:rFonts w:cstheme="minorHAnsi"/>
                <w:b/>
                <w:bCs/>
                <w:sz w:val="18"/>
                <w:szCs w:val="18"/>
              </w:rPr>
              <w:t>Jalalabad urban area</w:t>
            </w:r>
          </w:p>
        </w:tc>
        <w:tc>
          <w:tcPr>
            <w:tcW w:w="12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28156AA" w14:textId="77777777" w:rsidR="00782190" w:rsidRPr="00FA13DD" w:rsidRDefault="00782190" w:rsidP="00FA13DD">
            <w:pPr>
              <w:jc w:val="center"/>
              <w:rPr>
                <w:rFonts w:cstheme="minorHAnsi"/>
                <w:b/>
                <w:bCs/>
                <w:sz w:val="18"/>
                <w:szCs w:val="18"/>
              </w:rPr>
            </w:pPr>
            <w:r w:rsidRPr="00FA13DD">
              <w:rPr>
                <w:rFonts w:cstheme="minorHAnsi"/>
                <w:b/>
                <w:bCs/>
                <w:sz w:val="18"/>
                <w:szCs w:val="18"/>
              </w:rPr>
              <w:t>66.97%</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6E673B4" w14:textId="77777777" w:rsidR="00782190" w:rsidRPr="00FA13DD" w:rsidRDefault="00782190" w:rsidP="00FA13DD">
            <w:pPr>
              <w:jc w:val="center"/>
              <w:rPr>
                <w:rFonts w:cstheme="minorHAnsi"/>
                <w:b/>
                <w:bCs/>
                <w:sz w:val="18"/>
                <w:szCs w:val="18"/>
              </w:rPr>
            </w:pPr>
            <w:r w:rsidRPr="00FA13DD">
              <w:rPr>
                <w:rFonts w:cstheme="minorHAnsi"/>
                <w:b/>
                <w:bCs/>
                <w:sz w:val="18"/>
                <w:szCs w:val="18"/>
              </w:rPr>
              <w:t>0.36%</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1F17FDC" w14:textId="77777777" w:rsidR="00782190" w:rsidRPr="00FA13DD" w:rsidRDefault="00782190" w:rsidP="00FA13DD">
            <w:pPr>
              <w:jc w:val="center"/>
              <w:rPr>
                <w:rFonts w:cstheme="minorHAnsi"/>
                <w:b/>
                <w:bCs/>
                <w:sz w:val="18"/>
                <w:szCs w:val="18"/>
              </w:rPr>
            </w:pPr>
            <w:r w:rsidRPr="00FA13DD">
              <w:rPr>
                <w:rFonts w:cstheme="minorHAnsi"/>
                <w:b/>
                <w:bCs/>
                <w:sz w:val="18"/>
                <w:szCs w:val="18"/>
              </w:rPr>
              <w:t>3.97%</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8C2DFA1" w14:textId="77777777" w:rsidR="00782190" w:rsidRPr="00FA13DD" w:rsidRDefault="00782190" w:rsidP="00FA13DD">
            <w:pPr>
              <w:jc w:val="center"/>
              <w:rPr>
                <w:rFonts w:cstheme="minorHAnsi"/>
                <w:b/>
                <w:bCs/>
                <w:sz w:val="18"/>
                <w:szCs w:val="18"/>
              </w:rPr>
            </w:pPr>
            <w:r w:rsidRPr="00FA13DD">
              <w:rPr>
                <w:rFonts w:cstheme="minorHAnsi"/>
                <w:b/>
                <w:bCs/>
                <w:sz w:val="18"/>
                <w:szCs w:val="18"/>
              </w:rPr>
              <w:t>0.36%</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70A12FC" w14:textId="77777777" w:rsidR="00782190" w:rsidRPr="00FA13DD" w:rsidRDefault="00782190" w:rsidP="00FA13DD">
            <w:pPr>
              <w:jc w:val="center"/>
              <w:rPr>
                <w:rFonts w:cstheme="minorHAnsi"/>
                <w:b/>
                <w:bCs/>
                <w:sz w:val="18"/>
                <w:szCs w:val="18"/>
              </w:rPr>
            </w:pPr>
            <w:r w:rsidRPr="00FA13DD">
              <w:rPr>
                <w:rFonts w:cstheme="minorHAnsi"/>
                <w:b/>
                <w:bCs/>
                <w:sz w:val="18"/>
                <w:szCs w:val="18"/>
              </w:rPr>
              <w:t>28.34%</w:t>
            </w:r>
          </w:p>
        </w:tc>
        <w:tc>
          <w:tcPr>
            <w:tcW w:w="22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8870BCF" w14:textId="77777777" w:rsidR="00782190" w:rsidRPr="00FA13DD" w:rsidRDefault="00782190" w:rsidP="00FA13DD">
            <w:pPr>
              <w:jc w:val="center"/>
              <w:rPr>
                <w:rFonts w:cstheme="minorHAnsi"/>
                <w:b/>
                <w:bCs/>
                <w:sz w:val="18"/>
                <w:szCs w:val="18"/>
              </w:rPr>
            </w:pPr>
            <w:r w:rsidRPr="00FA13DD">
              <w:rPr>
                <w:rFonts w:cstheme="minorHAnsi"/>
                <w:b/>
                <w:bCs/>
                <w:sz w:val="18"/>
                <w:szCs w:val="18"/>
              </w:rPr>
              <w:t>33.03%</w:t>
            </w:r>
          </w:p>
        </w:tc>
      </w:tr>
      <w:tr w:rsidR="00782190" w14:paraId="133E8311" w14:textId="77777777" w:rsidTr="00FA13DD">
        <w:trPr>
          <w:trHeight w:val="245"/>
        </w:trPr>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CAB58FE" w14:textId="77777777" w:rsidR="00782190" w:rsidRPr="00FA13DD" w:rsidRDefault="00782190" w:rsidP="00FA13DD">
            <w:pPr>
              <w:jc w:val="left"/>
              <w:rPr>
                <w:rFonts w:cstheme="minorHAnsi"/>
                <w:sz w:val="18"/>
                <w:szCs w:val="18"/>
              </w:rPr>
            </w:pPr>
            <w:r w:rsidRPr="00FA13DD">
              <w:rPr>
                <w:rFonts w:cstheme="minorHAnsi"/>
                <w:sz w:val="18"/>
                <w:szCs w:val="18"/>
              </w:rPr>
              <w:t>Jalalabad</w:t>
            </w:r>
          </w:p>
        </w:tc>
        <w:tc>
          <w:tcPr>
            <w:tcW w:w="12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481CDBC" w14:textId="77777777" w:rsidR="00782190" w:rsidRPr="00FA13DD" w:rsidRDefault="00782190" w:rsidP="00FA13DD">
            <w:pPr>
              <w:jc w:val="center"/>
              <w:rPr>
                <w:rFonts w:cstheme="minorHAnsi"/>
                <w:sz w:val="18"/>
                <w:szCs w:val="18"/>
              </w:rPr>
            </w:pPr>
            <w:r w:rsidRPr="00FA13DD">
              <w:rPr>
                <w:rFonts w:cstheme="minorHAnsi"/>
                <w:sz w:val="18"/>
                <w:szCs w:val="18"/>
              </w:rPr>
              <w:t>65.68%</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2BE6763" w14:textId="77777777" w:rsidR="00782190" w:rsidRPr="00FA13DD" w:rsidRDefault="00782190" w:rsidP="00FA13DD">
            <w:pPr>
              <w:jc w:val="center"/>
              <w:rPr>
                <w:rFonts w:cstheme="minorHAnsi"/>
                <w:sz w:val="18"/>
                <w:szCs w:val="18"/>
              </w:rPr>
            </w:pPr>
            <w:r w:rsidRPr="00FA13DD">
              <w:rPr>
                <w:rFonts w:cstheme="minorHAnsi"/>
                <w:sz w:val="18"/>
                <w:szCs w:val="18"/>
              </w:rPr>
              <w:t>0.74%</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D90FC61" w14:textId="77777777" w:rsidR="00782190" w:rsidRPr="00FA13DD" w:rsidRDefault="00782190" w:rsidP="00FA13DD">
            <w:pPr>
              <w:jc w:val="center"/>
              <w:rPr>
                <w:rFonts w:cstheme="minorHAnsi"/>
                <w:sz w:val="18"/>
                <w:szCs w:val="18"/>
              </w:rPr>
            </w:pPr>
            <w:r w:rsidRPr="00FA13DD">
              <w:rPr>
                <w:rFonts w:cstheme="minorHAnsi"/>
                <w:sz w:val="18"/>
                <w:szCs w:val="18"/>
              </w:rPr>
              <w:t>7.38%</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E2F1704" w14:textId="77777777" w:rsidR="00782190" w:rsidRPr="00FA13DD" w:rsidRDefault="00782190" w:rsidP="00FA13DD">
            <w:pPr>
              <w:jc w:val="center"/>
              <w:rPr>
                <w:rFonts w:cstheme="minorHAnsi"/>
                <w:sz w:val="18"/>
                <w:szCs w:val="18"/>
              </w:rPr>
            </w:pPr>
            <w:r w:rsidRPr="00FA13DD">
              <w:rPr>
                <w:rFonts w:cstheme="minorHAnsi"/>
                <w:sz w:val="18"/>
                <w:szCs w:val="18"/>
              </w:rPr>
              <w:t>0.37%</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F92BF02" w14:textId="77777777" w:rsidR="00782190" w:rsidRPr="00FA13DD" w:rsidRDefault="00782190" w:rsidP="00FA13DD">
            <w:pPr>
              <w:jc w:val="center"/>
              <w:rPr>
                <w:rFonts w:cstheme="minorHAnsi"/>
                <w:sz w:val="18"/>
                <w:szCs w:val="18"/>
              </w:rPr>
            </w:pPr>
            <w:r w:rsidRPr="00FA13DD">
              <w:rPr>
                <w:rFonts w:cstheme="minorHAnsi"/>
                <w:sz w:val="18"/>
                <w:szCs w:val="18"/>
              </w:rPr>
              <w:t>25.83%</w:t>
            </w:r>
          </w:p>
        </w:tc>
        <w:tc>
          <w:tcPr>
            <w:tcW w:w="22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BB67F4D" w14:textId="77777777" w:rsidR="00782190" w:rsidRPr="00FA13DD" w:rsidRDefault="00782190" w:rsidP="00FA13DD">
            <w:pPr>
              <w:jc w:val="center"/>
              <w:rPr>
                <w:rFonts w:cstheme="minorHAnsi"/>
                <w:sz w:val="18"/>
                <w:szCs w:val="18"/>
              </w:rPr>
            </w:pPr>
            <w:r w:rsidRPr="00FA13DD">
              <w:rPr>
                <w:rFonts w:cstheme="minorHAnsi"/>
                <w:sz w:val="18"/>
                <w:szCs w:val="18"/>
              </w:rPr>
              <w:t>34.32%</w:t>
            </w:r>
          </w:p>
        </w:tc>
      </w:tr>
      <w:tr w:rsidR="00782190" w14:paraId="16482B59" w14:textId="77777777" w:rsidTr="00FA13DD">
        <w:trPr>
          <w:trHeight w:val="245"/>
        </w:trPr>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036F1B3" w14:textId="77777777" w:rsidR="00782190" w:rsidRPr="00FA13DD" w:rsidRDefault="00782190" w:rsidP="00FA13DD">
            <w:pPr>
              <w:jc w:val="left"/>
              <w:rPr>
                <w:rFonts w:cstheme="minorHAnsi"/>
                <w:sz w:val="18"/>
                <w:szCs w:val="18"/>
              </w:rPr>
            </w:pPr>
            <w:r w:rsidRPr="00FA13DD">
              <w:rPr>
                <w:rFonts w:cstheme="minorHAnsi"/>
                <w:sz w:val="18"/>
                <w:szCs w:val="18"/>
              </w:rPr>
              <w:t>Behsud</w:t>
            </w:r>
          </w:p>
        </w:tc>
        <w:tc>
          <w:tcPr>
            <w:tcW w:w="12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6E347A7" w14:textId="77777777" w:rsidR="00782190" w:rsidRPr="00FA13DD" w:rsidRDefault="00782190" w:rsidP="00FA13DD">
            <w:pPr>
              <w:jc w:val="center"/>
              <w:rPr>
                <w:rFonts w:cstheme="minorHAnsi"/>
                <w:sz w:val="18"/>
                <w:szCs w:val="18"/>
              </w:rPr>
            </w:pPr>
            <w:r w:rsidRPr="00FA13DD">
              <w:rPr>
                <w:rFonts w:cstheme="minorHAnsi"/>
                <w:sz w:val="18"/>
                <w:szCs w:val="18"/>
              </w:rPr>
              <w:t>76.67%</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840B386" w14:textId="77777777" w:rsidR="00782190" w:rsidRPr="00FA13DD" w:rsidRDefault="00782190" w:rsidP="00FA13DD">
            <w:pPr>
              <w:jc w:val="center"/>
              <w:rPr>
                <w:rFonts w:cstheme="minorHAnsi"/>
                <w:sz w:val="18"/>
                <w:szCs w:val="18"/>
              </w:rPr>
            </w:pPr>
            <w:r w:rsidRPr="00FA13DD">
              <w:rPr>
                <w:rFonts w:cstheme="minorHAnsi"/>
                <w:sz w:val="18"/>
                <w:szCs w:val="18"/>
              </w:rPr>
              <w:t>0.00%</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533FE0F" w14:textId="77777777" w:rsidR="00782190" w:rsidRPr="00FA13DD" w:rsidRDefault="00782190" w:rsidP="00FA13DD">
            <w:pPr>
              <w:jc w:val="center"/>
              <w:rPr>
                <w:rFonts w:cstheme="minorHAnsi"/>
                <w:sz w:val="18"/>
                <w:szCs w:val="18"/>
              </w:rPr>
            </w:pPr>
            <w:r w:rsidRPr="00FA13DD">
              <w:rPr>
                <w:rFonts w:cstheme="minorHAnsi"/>
                <w:sz w:val="18"/>
                <w:szCs w:val="18"/>
              </w:rPr>
              <w:t>0.00%</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6A6723E" w14:textId="77777777" w:rsidR="00782190" w:rsidRPr="00FA13DD" w:rsidRDefault="00782190" w:rsidP="00FA13DD">
            <w:pPr>
              <w:jc w:val="center"/>
              <w:rPr>
                <w:rFonts w:cstheme="minorHAnsi"/>
                <w:sz w:val="18"/>
                <w:szCs w:val="18"/>
              </w:rPr>
            </w:pPr>
            <w:r w:rsidRPr="00FA13DD">
              <w:rPr>
                <w:rFonts w:cstheme="minorHAnsi"/>
                <w:sz w:val="18"/>
                <w:szCs w:val="18"/>
              </w:rPr>
              <w:t>0.00%</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A79AAD6" w14:textId="77777777" w:rsidR="00782190" w:rsidRPr="00FA13DD" w:rsidRDefault="00782190" w:rsidP="00FA13DD">
            <w:pPr>
              <w:jc w:val="center"/>
              <w:rPr>
                <w:rFonts w:cstheme="minorHAnsi"/>
                <w:sz w:val="18"/>
                <w:szCs w:val="18"/>
              </w:rPr>
            </w:pPr>
            <w:r w:rsidRPr="00FA13DD">
              <w:rPr>
                <w:rFonts w:cstheme="minorHAnsi"/>
                <w:sz w:val="18"/>
                <w:szCs w:val="18"/>
              </w:rPr>
              <w:t>23.33%</w:t>
            </w:r>
          </w:p>
        </w:tc>
        <w:tc>
          <w:tcPr>
            <w:tcW w:w="22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89BA650" w14:textId="77777777" w:rsidR="00782190" w:rsidRPr="00FA13DD" w:rsidRDefault="00782190" w:rsidP="00FA13DD">
            <w:pPr>
              <w:jc w:val="center"/>
              <w:rPr>
                <w:rFonts w:cstheme="minorHAnsi"/>
                <w:sz w:val="18"/>
                <w:szCs w:val="18"/>
              </w:rPr>
            </w:pPr>
            <w:r w:rsidRPr="00FA13DD">
              <w:rPr>
                <w:rFonts w:cstheme="minorHAnsi"/>
                <w:sz w:val="18"/>
                <w:szCs w:val="18"/>
              </w:rPr>
              <w:t>23.33%</w:t>
            </w:r>
          </w:p>
        </w:tc>
      </w:tr>
      <w:tr w:rsidR="00782190" w14:paraId="505D6484" w14:textId="77777777" w:rsidTr="00FA13DD">
        <w:trPr>
          <w:trHeight w:val="245"/>
        </w:trPr>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9B3B877" w14:textId="77777777" w:rsidR="00782190" w:rsidRPr="00FA13DD" w:rsidRDefault="00782190" w:rsidP="00FA13DD">
            <w:pPr>
              <w:jc w:val="left"/>
              <w:rPr>
                <w:rFonts w:cstheme="minorHAnsi"/>
                <w:sz w:val="18"/>
                <w:szCs w:val="18"/>
              </w:rPr>
            </w:pPr>
            <w:r w:rsidRPr="00FA13DD">
              <w:rPr>
                <w:rFonts w:cstheme="minorHAnsi"/>
                <w:sz w:val="18"/>
                <w:szCs w:val="18"/>
              </w:rPr>
              <w:t>Surkhrod</w:t>
            </w:r>
          </w:p>
        </w:tc>
        <w:tc>
          <w:tcPr>
            <w:tcW w:w="12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EB8A3D8" w14:textId="77777777" w:rsidR="00782190" w:rsidRPr="00FA13DD" w:rsidRDefault="00782190" w:rsidP="00FA13DD">
            <w:pPr>
              <w:jc w:val="center"/>
              <w:rPr>
                <w:rFonts w:cstheme="minorHAnsi"/>
                <w:sz w:val="18"/>
                <w:szCs w:val="18"/>
              </w:rPr>
            </w:pPr>
            <w:r w:rsidRPr="00FA13DD">
              <w:rPr>
                <w:rFonts w:cstheme="minorHAnsi"/>
                <w:sz w:val="18"/>
                <w:szCs w:val="18"/>
              </w:rPr>
              <w:t>61.96%</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C725D8C" w14:textId="77777777" w:rsidR="00782190" w:rsidRPr="00FA13DD" w:rsidRDefault="00782190" w:rsidP="00FA13DD">
            <w:pPr>
              <w:jc w:val="center"/>
              <w:rPr>
                <w:rFonts w:cstheme="minorHAnsi"/>
                <w:sz w:val="18"/>
                <w:szCs w:val="18"/>
              </w:rPr>
            </w:pPr>
            <w:r w:rsidRPr="00FA13DD">
              <w:rPr>
                <w:rFonts w:cstheme="minorHAnsi"/>
                <w:sz w:val="18"/>
                <w:szCs w:val="18"/>
              </w:rPr>
              <w:t>0.00%</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A7BBA05" w14:textId="77777777" w:rsidR="00782190" w:rsidRPr="00FA13DD" w:rsidRDefault="00782190" w:rsidP="00FA13DD">
            <w:pPr>
              <w:jc w:val="center"/>
              <w:rPr>
                <w:rFonts w:cstheme="minorHAnsi"/>
                <w:sz w:val="18"/>
                <w:szCs w:val="18"/>
              </w:rPr>
            </w:pPr>
            <w:r w:rsidRPr="00FA13DD">
              <w:rPr>
                <w:rFonts w:cstheme="minorHAnsi"/>
                <w:sz w:val="18"/>
                <w:szCs w:val="18"/>
              </w:rPr>
              <w:t>1.23%</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79C3CE5" w14:textId="77777777" w:rsidR="00782190" w:rsidRPr="00FA13DD" w:rsidRDefault="00782190" w:rsidP="00FA13DD">
            <w:pPr>
              <w:jc w:val="center"/>
              <w:rPr>
                <w:rFonts w:cstheme="minorHAnsi"/>
                <w:sz w:val="18"/>
                <w:szCs w:val="18"/>
              </w:rPr>
            </w:pPr>
            <w:r w:rsidRPr="00FA13DD">
              <w:rPr>
                <w:rFonts w:cstheme="minorHAnsi"/>
                <w:sz w:val="18"/>
                <w:szCs w:val="18"/>
              </w:rPr>
              <w:t>0.61%</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FD8BFF6" w14:textId="77777777" w:rsidR="00782190" w:rsidRPr="00FA13DD" w:rsidRDefault="00782190" w:rsidP="00FA13DD">
            <w:pPr>
              <w:jc w:val="center"/>
              <w:rPr>
                <w:rFonts w:cstheme="minorHAnsi"/>
                <w:sz w:val="18"/>
                <w:szCs w:val="18"/>
              </w:rPr>
            </w:pPr>
            <w:r w:rsidRPr="00FA13DD">
              <w:rPr>
                <w:rFonts w:cstheme="minorHAnsi"/>
                <w:sz w:val="18"/>
                <w:szCs w:val="18"/>
              </w:rPr>
              <w:t>36.20%</w:t>
            </w:r>
          </w:p>
        </w:tc>
        <w:tc>
          <w:tcPr>
            <w:tcW w:w="22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948FEA3" w14:textId="77777777" w:rsidR="00782190" w:rsidRPr="00FA13DD" w:rsidRDefault="00782190" w:rsidP="00FA13DD">
            <w:pPr>
              <w:jc w:val="center"/>
              <w:rPr>
                <w:rFonts w:cstheme="minorHAnsi"/>
                <w:sz w:val="18"/>
                <w:szCs w:val="18"/>
              </w:rPr>
            </w:pPr>
            <w:r w:rsidRPr="00FA13DD">
              <w:rPr>
                <w:rFonts w:cstheme="minorHAnsi"/>
                <w:sz w:val="18"/>
                <w:szCs w:val="18"/>
              </w:rPr>
              <w:t>38.04%</w:t>
            </w:r>
          </w:p>
        </w:tc>
      </w:tr>
      <w:tr w:rsidR="00782190" w14:paraId="315DD12D" w14:textId="77777777" w:rsidTr="00FA13DD">
        <w:trPr>
          <w:trHeight w:val="245"/>
        </w:trPr>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9E609BA" w14:textId="77777777" w:rsidR="00782190" w:rsidRPr="00FA13DD" w:rsidRDefault="00782190" w:rsidP="00FA13DD">
            <w:pPr>
              <w:jc w:val="left"/>
              <w:rPr>
                <w:rFonts w:cstheme="minorHAnsi"/>
                <w:b/>
                <w:bCs/>
                <w:sz w:val="18"/>
                <w:szCs w:val="18"/>
              </w:rPr>
            </w:pPr>
            <w:r w:rsidRPr="00FA13DD">
              <w:rPr>
                <w:rFonts w:cstheme="minorHAnsi"/>
                <w:b/>
                <w:bCs/>
                <w:sz w:val="18"/>
                <w:szCs w:val="18"/>
              </w:rPr>
              <w:t>Chamtala</w:t>
            </w:r>
          </w:p>
        </w:tc>
        <w:tc>
          <w:tcPr>
            <w:tcW w:w="12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90FDC04" w14:textId="77777777" w:rsidR="00782190" w:rsidRPr="00FA13DD" w:rsidRDefault="00782190" w:rsidP="00FA13DD">
            <w:pPr>
              <w:jc w:val="center"/>
              <w:rPr>
                <w:rFonts w:cstheme="minorHAnsi"/>
                <w:b/>
                <w:bCs/>
                <w:sz w:val="18"/>
                <w:szCs w:val="18"/>
              </w:rPr>
            </w:pPr>
            <w:r w:rsidRPr="00FA13DD">
              <w:rPr>
                <w:rFonts w:cstheme="minorHAnsi"/>
                <w:b/>
                <w:bCs/>
                <w:sz w:val="18"/>
                <w:szCs w:val="18"/>
              </w:rPr>
              <w:t>66.67%</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0786F2D" w14:textId="77777777" w:rsidR="00782190" w:rsidRPr="00FA13DD" w:rsidRDefault="00782190" w:rsidP="00FA13DD">
            <w:pPr>
              <w:jc w:val="center"/>
              <w:rPr>
                <w:rFonts w:cstheme="minorHAnsi"/>
                <w:b/>
                <w:bCs/>
                <w:sz w:val="18"/>
                <w:szCs w:val="18"/>
              </w:rPr>
            </w:pPr>
            <w:r w:rsidRPr="00FA13DD">
              <w:rPr>
                <w:rFonts w:cstheme="minorHAnsi"/>
                <w:b/>
                <w:bCs/>
                <w:sz w:val="18"/>
                <w:szCs w:val="18"/>
              </w:rPr>
              <w:t>0.00%</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74DF693" w14:textId="77777777" w:rsidR="00782190" w:rsidRPr="00FA13DD" w:rsidRDefault="00782190" w:rsidP="00FA13DD">
            <w:pPr>
              <w:jc w:val="center"/>
              <w:rPr>
                <w:rFonts w:cstheme="minorHAnsi"/>
                <w:b/>
                <w:bCs/>
                <w:sz w:val="18"/>
                <w:szCs w:val="18"/>
              </w:rPr>
            </w:pPr>
            <w:r w:rsidRPr="00FA13DD">
              <w:rPr>
                <w:rFonts w:cstheme="minorHAnsi"/>
                <w:b/>
                <w:bCs/>
                <w:sz w:val="18"/>
                <w:szCs w:val="18"/>
              </w:rPr>
              <w:t>5.88%</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4F94E86" w14:textId="77777777" w:rsidR="00782190" w:rsidRPr="00FA13DD" w:rsidRDefault="00782190" w:rsidP="00FA13DD">
            <w:pPr>
              <w:jc w:val="center"/>
              <w:rPr>
                <w:rFonts w:cstheme="minorHAnsi"/>
                <w:b/>
                <w:bCs/>
                <w:sz w:val="18"/>
                <w:szCs w:val="18"/>
              </w:rPr>
            </w:pPr>
            <w:r w:rsidRPr="00FA13DD">
              <w:rPr>
                <w:rFonts w:cstheme="minorHAnsi"/>
                <w:b/>
                <w:bCs/>
                <w:sz w:val="18"/>
                <w:szCs w:val="18"/>
              </w:rPr>
              <w:t>0.00%</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B4664D0" w14:textId="77777777" w:rsidR="00782190" w:rsidRPr="00FA13DD" w:rsidRDefault="00782190" w:rsidP="00FA13DD">
            <w:pPr>
              <w:jc w:val="center"/>
              <w:rPr>
                <w:rFonts w:cstheme="minorHAnsi"/>
                <w:b/>
                <w:bCs/>
                <w:sz w:val="18"/>
                <w:szCs w:val="18"/>
              </w:rPr>
            </w:pPr>
            <w:r w:rsidRPr="00FA13DD">
              <w:rPr>
                <w:rFonts w:cstheme="minorHAnsi"/>
                <w:b/>
                <w:bCs/>
                <w:sz w:val="18"/>
                <w:szCs w:val="18"/>
              </w:rPr>
              <w:t>27.45%</w:t>
            </w:r>
          </w:p>
        </w:tc>
        <w:tc>
          <w:tcPr>
            <w:tcW w:w="22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6965C3F" w14:textId="77777777" w:rsidR="00782190" w:rsidRPr="00FA13DD" w:rsidRDefault="00782190" w:rsidP="00FA13DD">
            <w:pPr>
              <w:jc w:val="center"/>
              <w:rPr>
                <w:rFonts w:cstheme="minorHAnsi"/>
                <w:b/>
                <w:bCs/>
                <w:sz w:val="18"/>
                <w:szCs w:val="18"/>
              </w:rPr>
            </w:pPr>
            <w:r w:rsidRPr="00FA13DD">
              <w:rPr>
                <w:rFonts w:cstheme="minorHAnsi"/>
                <w:b/>
                <w:bCs/>
                <w:sz w:val="18"/>
                <w:szCs w:val="18"/>
              </w:rPr>
              <w:t>33.33%</w:t>
            </w:r>
          </w:p>
        </w:tc>
      </w:tr>
      <w:tr w:rsidR="00782190" w14:paraId="41B70F59" w14:textId="77777777" w:rsidTr="00FA13DD">
        <w:trPr>
          <w:trHeight w:val="245"/>
        </w:trPr>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72E8196" w14:textId="77777777" w:rsidR="00782190" w:rsidRPr="00FA13DD" w:rsidRDefault="00782190" w:rsidP="00FA13DD">
            <w:pPr>
              <w:jc w:val="left"/>
              <w:rPr>
                <w:rFonts w:cstheme="minorHAnsi"/>
                <w:b/>
                <w:bCs/>
                <w:sz w:val="18"/>
                <w:szCs w:val="18"/>
              </w:rPr>
            </w:pPr>
            <w:r w:rsidRPr="00FA13DD">
              <w:rPr>
                <w:rFonts w:cstheme="minorHAnsi"/>
                <w:b/>
                <w:bCs/>
                <w:sz w:val="18"/>
                <w:szCs w:val="18"/>
              </w:rPr>
              <w:t>Kabul camp</w:t>
            </w:r>
          </w:p>
        </w:tc>
        <w:tc>
          <w:tcPr>
            <w:tcW w:w="12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E2E5A51" w14:textId="77777777" w:rsidR="00782190" w:rsidRPr="00FA13DD" w:rsidRDefault="00782190" w:rsidP="00FA13DD">
            <w:pPr>
              <w:jc w:val="center"/>
              <w:rPr>
                <w:rFonts w:cstheme="minorHAnsi"/>
                <w:b/>
                <w:bCs/>
                <w:sz w:val="18"/>
                <w:szCs w:val="18"/>
              </w:rPr>
            </w:pPr>
            <w:r w:rsidRPr="00FA13DD">
              <w:rPr>
                <w:rFonts w:cstheme="minorHAnsi"/>
                <w:b/>
                <w:bCs/>
                <w:sz w:val="18"/>
                <w:szCs w:val="18"/>
              </w:rPr>
              <w:t>72.50%</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34BB4F5" w14:textId="77777777" w:rsidR="00782190" w:rsidRPr="00FA13DD" w:rsidRDefault="00782190" w:rsidP="00FA13DD">
            <w:pPr>
              <w:jc w:val="center"/>
              <w:rPr>
                <w:rFonts w:cstheme="minorHAnsi"/>
                <w:b/>
                <w:bCs/>
                <w:sz w:val="18"/>
                <w:szCs w:val="18"/>
              </w:rPr>
            </w:pPr>
            <w:r w:rsidRPr="00FA13DD">
              <w:rPr>
                <w:rFonts w:cstheme="minorHAnsi"/>
                <w:b/>
                <w:bCs/>
                <w:sz w:val="18"/>
                <w:szCs w:val="18"/>
              </w:rPr>
              <w:t>0.00%</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A6A0B8B" w14:textId="77777777" w:rsidR="00782190" w:rsidRPr="00FA13DD" w:rsidRDefault="00782190" w:rsidP="00FA13DD">
            <w:pPr>
              <w:jc w:val="center"/>
              <w:rPr>
                <w:rFonts w:cstheme="minorHAnsi"/>
                <w:b/>
                <w:bCs/>
                <w:sz w:val="18"/>
                <w:szCs w:val="18"/>
              </w:rPr>
            </w:pPr>
            <w:r w:rsidRPr="00FA13DD">
              <w:rPr>
                <w:rFonts w:cstheme="minorHAnsi"/>
                <w:b/>
                <w:bCs/>
                <w:sz w:val="18"/>
                <w:szCs w:val="18"/>
              </w:rPr>
              <w:t>4.17%</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149CCF6" w14:textId="77777777" w:rsidR="00782190" w:rsidRPr="00FA13DD" w:rsidRDefault="00782190" w:rsidP="00FA13DD">
            <w:pPr>
              <w:jc w:val="center"/>
              <w:rPr>
                <w:rFonts w:cstheme="minorHAnsi"/>
                <w:b/>
                <w:bCs/>
                <w:sz w:val="18"/>
                <w:szCs w:val="18"/>
              </w:rPr>
            </w:pPr>
            <w:r w:rsidRPr="00FA13DD">
              <w:rPr>
                <w:rFonts w:cstheme="minorHAnsi"/>
                <w:b/>
                <w:bCs/>
                <w:sz w:val="18"/>
                <w:szCs w:val="18"/>
              </w:rPr>
              <w:t>0.00%</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7489758" w14:textId="77777777" w:rsidR="00782190" w:rsidRPr="00FA13DD" w:rsidRDefault="00782190" w:rsidP="00FA13DD">
            <w:pPr>
              <w:jc w:val="center"/>
              <w:rPr>
                <w:rFonts w:cstheme="minorHAnsi"/>
                <w:b/>
                <w:bCs/>
                <w:sz w:val="18"/>
                <w:szCs w:val="18"/>
              </w:rPr>
            </w:pPr>
            <w:r w:rsidRPr="00FA13DD">
              <w:rPr>
                <w:rFonts w:cstheme="minorHAnsi"/>
                <w:b/>
                <w:bCs/>
                <w:sz w:val="18"/>
                <w:szCs w:val="18"/>
              </w:rPr>
              <w:t>23.33%</w:t>
            </w:r>
          </w:p>
        </w:tc>
        <w:tc>
          <w:tcPr>
            <w:tcW w:w="22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6E2B143" w14:textId="77777777" w:rsidR="00782190" w:rsidRPr="00FA13DD" w:rsidRDefault="00782190" w:rsidP="00FA13DD">
            <w:pPr>
              <w:jc w:val="center"/>
              <w:rPr>
                <w:rFonts w:cstheme="minorHAnsi"/>
                <w:b/>
                <w:bCs/>
                <w:sz w:val="18"/>
                <w:szCs w:val="18"/>
              </w:rPr>
            </w:pPr>
            <w:r w:rsidRPr="00FA13DD">
              <w:rPr>
                <w:rFonts w:cstheme="minorHAnsi"/>
                <w:b/>
                <w:bCs/>
                <w:sz w:val="18"/>
                <w:szCs w:val="18"/>
              </w:rPr>
              <w:t>27.50%</w:t>
            </w:r>
          </w:p>
        </w:tc>
      </w:tr>
      <w:tr w:rsidR="00782190" w14:paraId="447098B6" w14:textId="77777777" w:rsidTr="00FA13DD">
        <w:trPr>
          <w:trHeight w:val="245"/>
        </w:trPr>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6D4ADC6" w14:textId="77777777" w:rsidR="00782190" w:rsidRPr="00FA13DD" w:rsidRDefault="00782190" w:rsidP="00FA13DD">
            <w:pPr>
              <w:jc w:val="left"/>
              <w:rPr>
                <w:rFonts w:cstheme="minorHAnsi"/>
                <w:b/>
                <w:bCs/>
                <w:sz w:val="18"/>
                <w:szCs w:val="18"/>
              </w:rPr>
            </w:pPr>
            <w:r w:rsidRPr="00FA13DD">
              <w:rPr>
                <w:rFonts w:cstheme="minorHAnsi"/>
                <w:b/>
                <w:bCs/>
                <w:sz w:val="18"/>
                <w:szCs w:val="18"/>
              </w:rPr>
              <w:t xml:space="preserve">Bar Shegi </w:t>
            </w:r>
          </w:p>
        </w:tc>
        <w:tc>
          <w:tcPr>
            <w:tcW w:w="12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81B5E65" w14:textId="77777777" w:rsidR="00782190" w:rsidRPr="00FA13DD" w:rsidRDefault="00782190" w:rsidP="00FA13DD">
            <w:pPr>
              <w:jc w:val="center"/>
              <w:rPr>
                <w:rFonts w:cstheme="minorHAnsi"/>
                <w:b/>
                <w:bCs/>
                <w:sz w:val="18"/>
                <w:szCs w:val="18"/>
              </w:rPr>
            </w:pPr>
            <w:r w:rsidRPr="00FA13DD">
              <w:rPr>
                <w:rFonts w:cstheme="minorHAnsi"/>
                <w:b/>
                <w:bCs/>
                <w:sz w:val="18"/>
                <w:szCs w:val="18"/>
              </w:rPr>
              <w:t>86.67%</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D011DE2" w14:textId="77777777" w:rsidR="00782190" w:rsidRPr="00FA13DD" w:rsidRDefault="00782190" w:rsidP="00FA13DD">
            <w:pPr>
              <w:jc w:val="center"/>
              <w:rPr>
                <w:rFonts w:cstheme="minorHAnsi"/>
                <w:b/>
                <w:bCs/>
                <w:sz w:val="18"/>
                <w:szCs w:val="18"/>
              </w:rPr>
            </w:pPr>
            <w:r w:rsidRPr="00FA13DD">
              <w:rPr>
                <w:rFonts w:cstheme="minorHAnsi"/>
                <w:b/>
                <w:bCs/>
                <w:sz w:val="18"/>
                <w:szCs w:val="18"/>
              </w:rPr>
              <w:t>0.00%</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EE4551A" w14:textId="77777777" w:rsidR="00782190" w:rsidRPr="00FA13DD" w:rsidRDefault="00782190" w:rsidP="00FA13DD">
            <w:pPr>
              <w:jc w:val="center"/>
              <w:rPr>
                <w:rFonts w:cstheme="minorHAnsi"/>
                <w:b/>
                <w:bCs/>
                <w:sz w:val="18"/>
                <w:szCs w:val="18"/>
              </w:rPr>
            </w:pPr>
            <w:r w:rsidRPr="00FA13DD">
              <w:rPr>
                <w:rFonts w:cstheme="minorHAnsi"/>
                <w:b/>
                <w:bCs/>
                <w:sz w:val="18"/>
                <w:szCs w:val="18"/>
              </w:rPr>
              <w:t>0.00%</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8A16C6F" w14:textId="77777777" w:rsidR="00782190" w:rsidRPr="00FA13DD" w:rsidRDefault="00782190" w:rsidP="00FA13DD">
            <w:pPr>
              <w:jc w:val="center"/>
              <w:rPr>
                <w:rFonts w:cstheme="minorHAnsi"/>
                <w:b/>
                <w:bCs/>
                <w:sz w:val="18"/>
                <w:szCs w:val="18"/>
              </w:rPr>
            </w:pPr>
            <w:r w:rsidRPr="00FA13DD">
              <w:rPr>
                <w:rFonts w:cstheme="minorHAnsi"/>
                <w:b/>
                <w:bCs/>
                <w:sz w:val="18"/>
                <w:szCs w:val="18"/>
              </w:rPr>
              <w:t>0.00%</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3C9BBB0" w14:textId="77777777" w:rsidR="00782190" w:rsidRPr="00FA13DD" w:rsidRDefault="00782190" w:rsidP="00FA13DD">
            <w:pPr>
              <w:jc w:val="center"/>
              <w:rPr>
                <w:rFonts w:cstheme="minorHAnsi"/>
                <w:b/>
                <w:bCs/>
                <w:sz w:val="18"/>
                <w:szCs w:val="18"/>
              </w:rPr>
            </w:pPr>
            <w:r w:rsidRPr="00FA13DD">
              <w:rPr>
                <w:rFonts w:cstheme="minorHAnsi"/>
                <w:b/>
                <w:bCs/>
                <w:sz w:val="18"/>
                <w:szCs w:val="18"/>
              </w:rPr>
              <w:t>13.33%</w:t>
            </w:r>
          </w:p>
        </w:tc>
        <w:tc>
          <w:tcPr>
            <w:tcW w:w="22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D320EDA" w14:textId="77777777" w:rsidR="00782190" w:rsidRPr="00FA13DD" w:rsidRDefault="00782190" w:rsidP="00FA13DD">
            <w:pPr>
              <w:jc w:val="center"/>
              <w:rPr>
                <w:rFonts w:cstheme="minorHAnsi"/>
                <w:b/>
                <w:bCs/>
                <w:sz w:val="18"/>
                <w:szCs w:val="18"/>
              </w:rPr>
            </w:pPr>
            <w:r w:rsidRPr="00FA13DD">
              <w:rPr>
                <w:rFonts w:cstheme="minorHAnsi"/>
                <w:b/>
                <w:bCs/>
                <w:sz w:val="18"/>
                <w:szCs w:val="18"/>
              </w:rPr>
              <w:t>13.33%</w:t>
            </w:r>
          </w:p>
        </w:tc>
      </w:tr>
      <w:tr w:rsidR="00782190" w14:paraId="058D095B" w14:textId="77777777" w:rsidTr="00FA13DD">
        <w:trPr>
          <w:trHeight w:val="245"/>
        </w:trPr>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E9F5DF4" w14:textId="77777777" w:rsidR="00782190" w:rsidRPr="00FA13DD" w:rsidRDefault="00782190" w:rsidP="00FA13DD">
            <w:pPr>
              <w:jc w:val="left"/>
              <w:rPr>
                <w:rFonts w:cstheme="minorHAnsi"/>
                <w:b/>
                <w:bCs/>
                <w:sz w:val="18"/>
                <w:szCs w:val="18"/>
              </w:rPr>
            </w:pPr>
            <w:r w:rsidRPr="00FA13DD">
              <w:rPr>
                <w:rFonts w:cstheme="minorHAnsi"/>
                <w:b/>
                <w:bCs/>
                <w:sz w:val="18"/>
                <w:szCs w:val="18"/>
              </w:rPr>
              <w:t>Harchar</w:t>
            </w:r>
          </w:p>
        </w:tc>
        <w:tc>
          <w:tcPr>
            <w:tcW w:w="12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2E41955" w14:textId="77777777" w:rsidR="00782190" w:rsidRPr="00FA13DD" w:rsidRDefault="00782190" w:rsidP="00FA13DD">
            <w:pPr>
              <w:jc w:val="center"/>
              <w:rPr>
                <w:rFonts w:cstheme="minorHAnsi"/>
                <w:b/>
                <w:bCs/>
                <w:sz w:val="18"/>
                <w:szCs w:val="18"/>
              </w:rPr>
            </w:pPr>
            <w:r w:rsidRPr="00FA13DD">
              <w:rPr>
                <w:rFonts w:cstheme="minorHAnsi"/>
                <w:b/>
                <w:bCs/>
                <w:sz w:val="18"/>
                <w:szCs w:val="18"/>
              </w:rPr>
              <w:t>100.00%</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3AC947D" w14:textId="77777777" w:rsidR="00782190" w:rsidRPr="00FA13DD" w:rsidRDefault="00782190" w:rsidP="00FA13DD">
            <w:pPr>
              <w:jc w:val="center"/>
              <w:rPr>
                <w:rFonts w:cstheme="minorHAnsi"/>
                <w:b/>
                <w:bCs/>
                <w:sz w:val="18"/>
                <w:szCs w:val="18"/>
              </w:rPr>
            </w:pPr>
            <w:r w:rsidRPr="00FA13DD">
              <w:rPr>
                <w:rFonts w:cstheme="minorHAnsi"/>
                <w:b/>
                <w:bCs/>
                <w:sz w:val="18"/>
                <w:szCs w:val="18"/>
              </w:rPr>
              <w:t>0.00%</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EC96B9B" w14:textId="77777777" w:rsidR="00782190" w:rsidRPr="00FA13DD" w:rsidRDefault="00782190" w:rsidP="00FA13DD">
            <w:pPr>
              <w:jc w:val="center"/>
              <w:rPr>
                <w:rFonts w:cstheme="minorHAnsi"/>
                <w:b/>
                <w:bCs/>
                <w:sz w:val="18"/>
                <w:szCs w:val="18"/>
              </w:rPr>
            </w:pPr>
            <w:r w:rsidRPr="00FA13DD">
              <w:rPr>
                <w:rFonts w:cstheme="minorHAnsi"/>
                <w:b/>
                <w:bCs/>
                <w:sz w:val="18"/>
                <w:szCs w:val="18"/>
              </w:rPr>
              <w:t>0.00%</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031FE3D" w14:textId="77777777" w:rsidR="00782190" w:rsidRPr="00FA13DD" w:rsidRDefault="00782190" w:rsidP="00FA13DD">
            <w:pPr>
              <w:jc w:val="center"/>
              <w:rPr>
                <w:rFonts w:cstheme="minorHAnsi"/>
                <w:b/>
                <w:bCs/>
                <w:sz w:val="18"/>
                <w:szCs w:val="18"/>
              </w:rPr>
            </w:pPr>
            <w:r w:rsidRPr="00FA13DD">
              <w:rPr>
                <w:rFonts w:cstheme="minorHAnsi"/>
                <w:b/>
                <w:bCs/>
                <w:sz w:val="18"/>
                <w:szCs w:val="18"/>
              </w:rPr>
              <w:t>0.00%</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8F33757" w14:textId="77777777" w:rsidR="00782190" w:rsidRPr="00FA13DD" w:rsidRDefault="00782190" w:rsidP="00FA13DD">
            <w:pPr>
              <w:jc w:val="center"/>
              <w:rPr>
                <w:rFonts w:cstheme="minorHAnsi"/>
                <w:b/>
                <w:bCs/>
                <w:sz w:val="18"/>
                <w:szCs w:val="18"/>
              </w:rPr>
            </w:pPr>
            <w:r w:rsidRPr="00FA13DD">
              <w:rPr>
                <w:rFonts w:cstheme="minorHAnsi"/>
                <w:b/>
                <w:bCs/>
                <w:sz w:val="18"/>
                <w:szCs w:val="18"/>
              </w:rPr>
              <w:t>0.00%</w:t>
            </w:r>
          </w:p>
        </w:tc>
        <w:tc>
          <w:tcPr>
            <w:tcW w:w="22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59EBB88" w14:textId="77777777" w:rsidR="00782190" w:rsidRPr="00FA13DD" w:rsidRDefault="00782190" w:rsidP="00FA13DD">
            <w:pPr>
              <w:jc w:val="center"/>
              <w:rPr>
                <w:rFonts w:cstheme="minorHAnsi"/>
                <w:b/>
                <w:bCs/>
                <w:sz w:val="18"/>
                <w:szCs w:val="18"/>
              </w:rPr>
            </w:pPr>
            <w:r w:rsidRPr="00FA13DD">
              <w:rPr>
                <w:rFonts w:cstheme="minorHAnsi"/>
                <w:b/>
                <w:bCs/>
                <w:sz w:val="18"/>
                <w:szCs w:val="18"/>
              </w:rPr>
              <w:t>0.00%</w:t>
            </w:r>
          </w:p>
        </w:tc>
      </w:tr>
      <w:tr w:rsidR="00782190" w14:paraId="11106CE0" w14:textId="77777777" w:rsidTr="00FA13DD">
        <w:trPr>
          <w:trHeight w:val="245"/>
        </w:trPr>
        <w:tc>
          <w:tcPr>
            <w:tcW w:w="11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EAC9D56" w14:textId="77777777" w:rsidR="00782190" w:rsidRPr="00FA13DD" w:rsidRDefault="00782190" w:rsidP="00FA13DD">
            <w:pPr>
              <w:jc w:val="left"/>
              <w:rPr>
                <w:rFonts w:cstheme="minorHAnsi"/>
                <w:b/>
                <w:bCs/>
                <w:sz w:val="18"/>
                <w:szCs w:val="18"/>
              </w:rPr>
            </w:pPr>
            <w:r w:rsidRPr="00FA13DD">
              <w:rPr>
                <w:rFonts w:cstheme="minorHAnsi"/>
                <w:b/>
                <w:bCs/>
                <w:sz w:val="18"/>
                <w:szCs w:val="18"/>
              </w:rPr>
              <w:t>Average</w:t>
            </w:r>
          </w:p>
        </w:tc>
        <w:tc>
          <w:tcPr>
            <w:tcW w:w="120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F1CA557" w14:textId="77777777" w:rsidR="00782190" w:rsidRPr="00FA13DD" w:rsidRDefault="00782190" w:rsidP="00FA13DD">
            <w:pPr>
              <w:jc w:val="center"/>
              <w:rPr>
                <w:rFonts w:cstheme="minorHAnsi"/>
                <w:b/>
                <w:bCs/>
                <w:sz w:val="18"/>
                <w:szCs w:val="18"/>
              </w:rPr>
            </w:pPr>
            <w:r w:rsidRPr="00FA13DD">
              <w:rPr>
                <w:rFonts w:cstheme="minorHAnsi"/>
                <w:b/>
                <w:bCs/>
                <w:sz w:val="18"/>
                <w:szCs w:val="18"/>
              </w:rPr>
              <w:t>69.12%</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8FFBDD1" w14:textId="77777777" w:rsidR="00782190" w:rsidRPr="00FA13DD" w:rsidRDefault="00782190" w:rsidP="00FA13DD">
            <w:pPr>
              <w:jc w:val="center"/>
              <w:rPr>
                <w:rFonts w:cstheme="minorHAnsi"/>
                <w:b/>
                <w:bCs/>
                <w:sz w:val="18"/>
                <w:szCs w:val="18"/>
              </w:rPr>
            </w:pPr>
            <w:r w:rsidRPr="00FA13DD">
              <w:rPr>
                <w:rFonts w:cstheme="minorHAnsi"/>
                <w:b/>
                <w:bCs/>
                <w:sz w:val="18"/>
                <w:szCs w:val="18"/>
              </w:rPr>
              <w:t>0.26%</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621D224" w14:textId="77777777" w:rsidR="00782190" w:rsidRPr="00FA13DD" w:rsidRDefault="00782190" w:rsidP="00FA13DD">
            <w:pPr>
              <w:jc w:val="center"/>
              <w:rPr>
                <w:rFonts w:cstheme="minorHAnsi"/>
                <w:b/>
                <w:bCs/>
                <w:sz w:val="18"/>
                <w:szCs w:val="18"/>
              </w:rPr>
            </w:pPr>
            <w:r w:rsidRPr="00FA13DD">
              <w:rPr>
                <w:rFonts w:cstheme="minorHAnsi"/>
                <w:b/>
                <w:bCs/>
                <w:sz w:val="18"/>
                <w:szCs w:val="18"/>
              </w:rPr>
              <w:t>3.94%</w:t>
            </w:r>
          </w:p>
        </w:tc>
        <w:tc>
          <w:tcPr>
            <w:tcW w:w="141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A879967" w14:textId="77777777" w:rsidR="00782190" w:rsidRPr="00FA13DD" w:rsidRDefault="00782190" w:rsidP="00FA13DD">
            <w:pPr>
              <w:jc w:val="center"/>
              <w:rPr>
                <w:rFonts w:cstheme="minorHAnsi"/>
                <w:b/>
                <w:bCs/>
                <w:sz w:val="18"/>
                <w:szCs w:val="18"/>
              </w:rPr>
            </w:pPr>
            <w:r w:rsidRPr="00FA13DD">
              <w:rPr>
                <w:rFonts w:cstheme="minorHAnsi"/>
                <w:b/>
                <w:bCs/>
                <w:sz w:val="18"/>
                <w:szCs w:val="18"/>
              </w:rPr>
              <w:t>0.26%</w:t>
            </w:r>
          </w:p>
        </w:tc>
        <w:tc>
          <w:tcPr>
            <w:tcW w:w="141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F14D496" w14:textId="77777777" w:rsidR="00782190" w:rsidRPr="00FA13DD" w:rsidRDefault="00782190" w:rsidP="00FA13DD">
            <w:pPr>
              <w:jc w:val="center"/>
              <w:rPr>
                <w:rFonts w:cstheme="minorHAnsi"/>
                <w:b/>
                <w:bCs/>
                <w:sz w:val="18"/>
                <w:szCs w:val="18"/>
              </w:rPr>
            </w:pPr>
            <w:r w:rsidRPr="00FA13DD">
              <w:rPr>
                <w:rFonts w:cstheme="minorHAnsi"/>
                <w:b/>
                <w:bCs/>
                <w:sz w:val="18"/>
                <w:szCs w:val="18"/>
              </w:rPr>
              <w:t>26.41%</w:t>
            </w:r>
          </w:p>
        </w:tc>
        <w:tc>
          <w:tcPr>
            <w:tcW w:w="220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D2C8C54" w14:textId="77777777" w:rsidR="00782190" w:rsidRPr="00FA13DD" w:rsidRDefault="00782190" w:rsidP="00FA13DD">
            <w:pPr>
              <w:jc w:val="center"/>
              <w:rPr>
                <w:rFonts w:cstheme="minorHAnsi"/>
                <w:b/>
                <w:bCs/>
                <w:sz w:val="18"/>
                <w:szCs w:val="18"/>
              </w:rPr>
            </w:pPr>
            <w:r w:rsidRPr="00FA13DD">
              <w:rPr>
                <w:rFonts w:cstheme="minorHAnsi"/>
                <w:b/>
                <w:bCs/>
                <w:sz w:val="18"/>
                <w:szCs w:val="18"/>
              </w:rPr>
              <w:t>30.88%</w:t>
            </w:r>
          </w:p>
        </w:tc>
      </w:tr>
    </w:tbl>
    <w:p w14:paraId="3E2D989A" w14:textId="55FEEF2E" w:rsidR="00782190" w:rsidRPr="000C380A" w:rsidRDefault="00782190" w:rsidP="00782190">
      <w:pPr>
        <w:rPr>
          <w:rFonts w:cstheme="minorHAnsi"/>
          <w:sz w:val="10"/>
        </w:rPr>
      </w:pPr>
    </w:p>
    <w:p w14:paraId="302A98AB" w14:textId="77777777" w:rsidR="000C380A" w:rsidRDefault="000C380A" w:rsidP="00782190">
      <w:pPr>
        <w:rPr>
          <w:rFonts w:cstheme="minorHAnsi"/>
        </w:rPr>
      </w:pPr>
    </w:p>
    <w:p w14:paraId="2477E3AA" w14:textId="77777777" w:rsidR="00BA107A" w:rsidRDefault="00BA107A" w:rsidP="00BA107A">
      <w:pPr>
        <w:pBdr>
          <w:top w:val="single" w:sz="4" w:space="1" w:color="auto"/>
          <w:left w:val="single" w:sz="4" w:space="4" w:color="auto"/>
          <w:bottom w:val="single" w:sz="4" w:space="1" w:color="auto"/>
          <w:right w:val="single" w:sz="4" w:space="4" w:color="auto"/>
        </w:pBdr>
        <w:rPr>
          <w:rFonts w:cstheme="minorHAnsi"/>
          <w:color w:val="000000" w:themeColor="text1"/>
          <w:sz w:val="10"/>
          <w:highlight w:val="yellow"/>
        </w:rPr>
      </w:pPr>
    </w:p>
    <w:p w14:paraId="1A77E00B" w14:textId="565AE059" w:rsidR="00A20F88" w:rsidRDefault="00A20F88" w:rsidP="00A20F88">
      <w:pPr>
        <w:pBdr>
          <w:top w:val="single" w:sz="4" w:space="1" w:color="auto"/>
          <w:left w:val="single" w:sz="4" w:space="4" w:color="auto"/>
          <w:bottom w:val="single" w:sz="4" w:space="1" w:color="auto"/>
          <w:right w:val="single" w:sz="4" w:space="4" w:color="auto"/>
        </w:pBdr>
        <w:rPr>
          <w:rFonts w:cstheme="minorHAnsi"/>
          <w:color w:val="000000" w:themeColor="text1"/>
        </w:rPr>
      </w:pPr>
      <w:r w:rsidRPr="00701AF6">
        <w:rPr>
          <w:rFonts w:cstheme="minorHAnsi"/>
          <w:color w:val="000000" w:themeColor="text1"/>
        </w:rPr>
        <w:t xml:space="preserve">Only 0.3% of respondents mentioned that people would not rent for them and 0.3% never rented before. This relatively smaller case load of cases </w:t>
      </w:r>
      <w:r w:rsidR="00B62914">
        <w:rPr>
          <w:rFonts w:cstheme="minorHAnsi"/>
          <w:color w:val="000000" w:themeColor="text1"/>
        </w:rPr>
        <w:t xml:space="preserve">(or families that face similar obstacles) </w:t>
      </w:r>
      <w:r w:rsidRPr="00701AF6">
        <w:rPr>
          <w:rFonts w:cstheme="minorHAnsi"/>
          <w:color w:val="000000" w:themeColor="text1"/>
        </w:rPr>
        <w:t>could be assisted through ICLA services, whilst CfR is indicated as an adequate modality.</w:t>
      </w:r>
    </w:p>
    <w:p w14:paraId="37460B92" w14:textId="77777777" w:rsidR="00A4686E" w:rsidRPr="00A4686E" w:rsidRDefault="00A4686E" w:rsidP="00A20F88">
      <w:pPr>
        <w:pBdr>
          <w:top w:val="single" w:sz="4" w:space="1" w:color="auto"/>
          <w:left w:val="single" w:sz="4" w:space="4" w:color="auto"/>
          <w:bottom w:val="single" w:sz="4" w:space="1" w:color="auto"/>
          <w:right w:val="single" w:sz="4" w:space="4" w:color="auto"/>
        </w:pBdr>
        <w:rPr>
          <w:rFonts w:cstheme="minorHAnsi"/>
          <w:color w:val="000000" w:themeColor="text1"/>
          <w:sz w:val="10"/>
        </w:rPr>
      </w:pPr>
    </w:p>
    <w:p w14:paraId="3186C961" w14:textId="753B9386" w:rsidR="00782190" w:rsidRDefault="00782190" w:rsidP="00A4686E"/>
    <w:p w14:paraId="42BBA061" w14:textId="2265DB92" w:rsidR="00AF4042" w:rsidRDefault="00AF4042" w:rsidP="00AF4042">
      <w:pPr>
        <w:pStyle w:val="Heading2"/>
      </w:pPr>
      <w:bookmarkStart w:id="28" w:name="_Toc523407961"/>
      <w:r>
        <w:t>Rental Housing Quality</w:t>
      </w:r>
      <w:bookmarkEnd w:id="28"/>
    </w:p>
    <w:p w14:paraId="33047D9C" w14:textId="77777777" w:rsidR="00AF4042" w:rsidRDefault="00AF4042" w:rsidP="00AF4042">
      <w:pPr>
        <w:rPr>
          <w:color w:val="006BBC"/>
        </w:rPr>
      </w:pPr>
    </w:p>
    <w:p w14:paraId="57EC9788" w14:textId="66341123" w:rsidR="00006DD4" w:rsidRDefault="00AF4042" w:rsidP="00AF4042">
      <w:r>
        <w:t xml:space="preserve">Over 70% of the housing in Afghanistan is considered substandard or slum-like and would be considered inadequate by international standards. As long as there are no </w:t>
      </w:r>
      <w:r w:rsidR="009D337B">
        <w:t>enforceable building codes</w:t>
      </w:r>
      <w:r>
        <w:t xml:space="preserve">, and a significant proportion of substandard and/or informal housing, a direct comparison of rental units needs to take into account the technical quality of the accommodations. </w:t>
      </w:r>
    </w:p>
    <w:p w14:paraId="598E773D" w14:textId="77777777" w:rsidR="00FE0B97" w:rsidRDefault="00FE0B97" w:rsidP="00AF4042"/>
    <w:p w14:paraId="4E539161" w14:textId="300CBF60" w:rsidR="00AF4042" w:rsidRDefault="00AF4042" w:rsidP="00AF4042">
      <w:r>
        <w:t xml:space="preserve">In order to address this issue, </w:t>
      </w:r>
      <w:r w:rsidR="009D337B">
        <w:t>s</w:t>
      </w:r>
      <w:r>
        <w:t xml:space="preserve">helter technical score </w:t>
      </w:r>
      <w:r w:rsidR="00FE0B97">
        <w:t xml:space="preserve">system </w:t>
      </w:r>
      <w:r>
        <w:t xml:space="preserve">was </w:t>
      </w:r>
      <w:r w:rsidR="009D337B">
        <w:t>designed</w:t>
      </w:r>
      <w:r w:rsidR="00FB5D1F">
        <w:t xml:space="preserve"> </w:t>
      </w:r>
      <w:r>
        <w:t xml:space="preserve">to capture the technical conditions of </w:t>
      </w:r>
      <w:r w:rsidR="0021383B">
        <w:t>accommodation</w:t>
      </w:r>
      <w:r>
        <w:t xml:space="preserve">, and to produce a quick assessment of its </w:t>
      </w:r>
      <w:r>
        <w:rPr>
          <w:i/>
        </w:rPr>
        <w:t>habitability</w:t>
      </w:r>
      <w:r w:rsidR="00FB5D1F">
        <w:rPr>
          <w:i/>
        </w:rPr>
        <w:t xml:space="preserve">: </w:t>
      </w:r>
      <w:r w:rsidR="00FB5D1F">
        <w:t xml:space="preserve">to what extent the </w:t>
      </w:r>
      <w:r>
        <w:t>shelter provides “adequate space, as well as protection against the cold, damp, heat, rain, wind, other threats to health and str</w:t>
      </w:r>
      <w:r w:rsidR="009D337B">
        <w:t>uctural hazards.”</w:t>
      </w:r>
      <w:r w:rsidR="00006DD4" w:rsidRPr="00006DD4">
        <w:rPr>
          <w:rStyle w:val="FootnoteReference"/>
        </w:rPr>
        <w:t xml:space="preserve"> </w:t>
      </w:r>
      <w:r w:rsidR="00006DD4">
        <w:rPr>
          <w:rStyle w:val="FootnoteReference"/>
        </w:rPr>
        <w:footnoteReference w:id="24"/>
      </w:r>
      <w:r w:rsidR="009D337B">
        <w:t xml:space="preserve"> </w:t>
      </w:r>
    </w:p>
    <w:p w14:paraId="76FD098E" w14:textId="77777777" w:rsidR="00AF4042" w:rsidRDefault="00AF4042" w:rsidP="00AF4042"/>
    <w:p w14:paraId="64648C30" w14:textId="4B0B01F8" w:rsidR="00AF4042" w:rsidRDefault="00AF4042" w:rsidP="00AF4042">
      <w:r>
        <w:t xml:space="preserve">A large proportion of housing in Afghanistan is informal, and while informal housing is often associated with lower quality and lower standards, it also includes traditional housing, which is firmly grounded contextually within local cultural requirements and technical capacity, and often present advantage that modern housing lacks. </w:t>
      </w:r>
    </w:p>
    <w:p w14:paraId="641A9D9C" w14:textId="01AC1E8C" w:rsidR="00AF4042" w:rsidRDefault="00AF4042" w:rsidP="00AF4042"/>
    <w:p w14:paraId="74A57329" w14:textId="6CE350A7" w:rsidR="007B4DA6" w:rsidRDefault="00AF4042" w:rsidP="002C7E79">
      <w:r>
        <w:t xml:space="preserve">The assessment of the market clearly shows that displaced populations </w:t>
      </w:r>
      <w:r w:rsidR="003C1994">
        <w:t xml:space="preserve">tend to </w:t>
      </w:r>
      <w:r>
        <w:t>settle for housing of lower quality, compared to host populations</w:t>
      </w:r>
      <w:r w:rsidR="00FB5D1F">
        <w:t>: the difference is significant</w:t>
      </w:r>
      <w:r>
        <w:t xml:space="preserve"> although not very </w:t>
      </w:r>
      <w:r w:rsidR="00CF1E50">
        <w:t>sizeable</w:t>
      </w:r>
      <w:r w:rsidR="00DD564E">
        <w:t xml:space="preserve">: </w:t>
      </w:r>
      <w:r>
        <w:t xml:space="preserve">30% of host households, but only 23% of IDP and 28% of returnee households live in accommodation of acceptable quality. </w:t>
      </w:r>
    </w:p>
    <w:p w14:paraId="3E9B7155" w14:textId="77777777" w:rsidR="007B4DA6" w:rsidRDefault="007B4DA6" w:rsidP="002C7E79"/>
    <w:p w14:paraId="762E78A9" w14:textId="77777777" w:rsidR="007D3AD7" w:rsidRDefault="007D3AD7" w:rsidP="002C7E79"/>
    <w:p w14:paraId="7828E645" w14:textId="77777777" w:rsidR="007D3AD7" w:rsidRDefault="007D3AD7" w:rsidP="002C7E79"/>
    <w:p w14:paraId="3F1EDE6F" w14:textId="77777777" w:rsidR="007D3AD7" w:rsidRDefault="007D3AD7" w:rsidP="002C7E79"/>
    <w:p w14:paraId="0AEFA14C" w14:textId="43160732" w:rsidR="00D0067B" w:rsidRDefault="00AF4042" w:rsidP="002C7E79">
      <w:r>
        <w:t xml:space="preserve">Water, sanitation and hygiene conditions </w:t>
      </w:r>
      <w:r w:rsidR="0045676F">
        <w:t xml:space="preserve">also </w:t>
      </w:r>
      <w:r>
        <w:t>correlate significantly with the displacement status of the household: members of the host community consistently have access to better sanitation conditions</w:t>
      </w:r>
      <w:r w:rsidR="00FB5D1F">
        <w:t xml:space="preserve">: host households have access to a toilet in 97.7% of cases, while returnees – in </w:t>
      </w:r>
      <w:r w:rsidR="00D0067B">
        <w:t>94.4%, and IDPs – in only 89.7% of the cases.</w:t>
      </w:r>
      <w:r w:rsidR="00FB5D1F">
        <w:t xml:space="preserve"> </w:t>
      </w:r>
    </w:p>
    <w:p w14:paraId="0E91FD51" w14:textId="77777777" w:rsidR="002C7E79" w:rsidRPr="002C7E79" w:rsidRDefault="002C7E79" w:rsidP="002C7E79"/>
    <w:p w14:paraId="630058FA" w14:textId="4975D0C1" w:rsidR="00AF4042" w:rsidRDefault="00464658" w:rsidP="002C7E79">
      <w:r>
        <w:t>There is</w:t>
      </w:r>
      <w:r w:rsidR="00AF4042">
        <w:t xml:space="preserve"> a very significant difference in perception of quality and adequacy of sanitation facilities by female and male respondents</w:t>
      </w:r>
      <w:r w:rsidR="002C7E79">
        <w:t>.</w:t>
      </w:r>
      <w:r w:rsidR="00B752E3">
        <w:t xml:space="preserve"> </w:t>
      </w:r>
      <w:r w:rsidR="00AF4042">
        <w:t>These are comparable in all groups of population, and in all markets</w:t>
      </w:r>
      <w:r w:rsidR="002C7E79">
        <w:t xml:space="preserve"> (locations)</w:t>
      </w:r>
      <w:r w:rsidR="00AF4042">
        <w:t>: women commonly perceive the quality of sanitation facilities to be poorer than men</w:t>
      </w:r>
      <w:r w:rsidR="00FB5D1F">
        <w:t>. Only 50.5% of female respondents consider their toilet facilities to be in an adequate condition – compared with 84.6% of men, similarly, women</w:t>
      </w:r>
      <w:r w:rsidR="00D532D2">
        <w:t xml:space="preserve"> declared </w:t>
      </w:r>
      <w:r w:rsidR="00FB5D1F">
        <w:t xml:space="preserve">that </w:t>
      </w:r>
      <w:r w:rsidR="00D532D2">
        <w:t>the toilet did not provide adequate privacy eight times more often (42.2%) than men (5%),</w:t>
      </w:r>
    </w:p>
    <w:p w14:paraId="1976F3DC" w14:textId="5EFCBF14" w:rsidR="002C7E79" w:rsidRDefault="002C7E79" w:rsidP="002C7E79"/>
    <w:p w14:paraId="600CC50A" w14:textId="77777777" w:rsidR="002C7E79" w:rsidRPr="002C7E79" w:rsidRDefault="002C7E79" w:rsidP="002C7E79">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sz w:val="10"/>
        </w:rPr>
      </w:pPr>
    </w:p>
    <w:p w14:paraId="5EC757AA" w14:textId="0052CEA2" w:rsidR="002C7E79" w:rsidRDefault="002C7E79" w:rsidP="002C7E79">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pPr>
      <w:r>
        <w:t xml:space="preserve">This distinction between male and female respondents is so consistent that it should be taken into account when assessing the quality of housing units in any future assessment and monitoring of CfR interventions: as long as male and female respondents differ so significantly in their perception of the housing quality, the responses provided by men and women may not be directly comparable. </w:t>
      </w:r>
    </w:p>
    <w:p w14:paraId="03CDBAE7" w14:textId="77777777" w:rsidR="002C7E79" w:rsidRPr="002C7E79" w:rsidRDefault="002C7E79" w:rsidP="002C7E79">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sz w:val="10"/>
        </w:rPr>
      </w:pPr>
    </w:p>
    <w:p w14:paraId="2B3F373B" w14:textId="77777777" w:rsidR="002C7E79" w:rsidRDefault="002C7E79" w:rsidP="002C7E79"/>
    <w:p w14:paraId="4039C22C" w14:textId="4CDA1432" w:rsidR="00AF4042" w:rsidRDefault="00AF4042" w:rsidP="002C7E79">
      <w:r>
        <w:t>The perception of safety of rented housing strongly varies with</w:t>
      </w:r>
      <w:r w:rsidR="00040CC5">
        <w:t xml:space="preserve"> gender: female respondents reported that they felt unsafe twice as often as males: 15.3%, as opposed to 7% for men. The perception of safety differs very significantly with locality</w:t>
      </w:r>
      <w:r>
        <w:t xml:space="preserve">: while in Behsud 97.5% feel safe, in Chamtala (hard to reach area) and in Harchar more than a third of </w:t>
      </w:r>
      <w:r w:rsidR="00040CC5">
        <w:t xml:space="preserve">all </w:t>
      </w:r>
      <w:r>
        <w:t>respondents</w:t>
      </w:r>
      <w:r w:rsidR="00040CC5">
        <w:t xml:space="preserve"> (and the majority of women, 60.1% and 55.6%, respectively) </w:t>
      </w:r>
      <w:r>
        <w:t>declare that they feel unsafe</w:t>
      </w:r>
      <w:r w:rsidR="00040CC5">
        <w:t xml:space="preserve">. </w:t>
      </w:r>
      <w:r>
        <w:t>The feeling of insecurity is also strongly correlated with the technical state of housing, in particular, poor condition of doors.</w:t>
      </w:r>
    </w:p>
    <w:p w14:paraId="02DAE4B6" w14:textId="77777777" w:rsidR="00AF4042" w:rsidRDefault="00AF4042" w:rsidP="00AF4042"/>
    <w:p w14:paraId="2284BB9D" w14:textId="77777777" w:rsidR="00AF4042" w:rsidRDefault="00AF4042" w:rsidP="00AF4042">
      <w:r>
        <w:t>The perception of safety is somewhat associated with security of tenure, but the effect is weak: 94% among those that have a formal agreement feel safe, as opposed to 86% of those that only have an oral agreement. This effect seems to be associated with particularities of local markets, as it is not clear whether insecure tenure creates the feeling of unsafety, or whether tenure in general is less secure in settlements where people do not feel safe.</w:t>
      </w:r>
    </w:p>
    <w:p w14:paraId="591E30EE" w14:textId="77777777" w:rsidR="00AF4042" w:rsidRDefault="00AF4042" w:rsidP="00AF4042"/>
    <w:p w14:paraId="43934734" w14:textId="7C169E9A" w:rsidR="00AF4042" w:rsidRDefault="00AF4042" w:rsidP="00AF4042">
      <w:r>
        <w:t xml:space="preserve">At the same time, there are no indications that displaced households feel less safe than non-displaced; similarly, living in an overcrowded housing, or sharing the house with relatives or non-relatives has no effect on the perception of security. This seems to indicate that insecurity is generated outside the house: safety is more a function of the situation in the settlement rather than of </w:t>
      </w:r>
      <w:r w:rsidR="00194A40">
        <w:t xml:space="preserve">ones </w:t>
      </w:r>
      <w:r>
        <w:t xml:space="preserve">living conditions. </w:t>
      </w:r>
    </w:p>
    <w:p w14:paraId="0ACF8098" w14:textId="77777777" w:rsidR="007D3AD7" w:rsidRDefault="007D3AD7" w:rsidP="00AF4042"/>
    <w:p w14:paraId="6E79BE53" w14:textId="5B0E405E" w:rsidR="00AF4042" w:rsidRDefault="00AF4042" w:rsidP="00AF4042"/>
    <w:p w14:paraId="4F877B99" w14:textId="26D92098" w:rsidR="00AF4042" w:rsidRDefault="007E5FD8" w:rsidP="00AF4042">
      <w:pPr>
        <w:pStyle w:val="Heading2"/>
        <w:spacing w:before="0"/>
      </w:pPr>
      <w:bookmarkStart w:id="29" w:name="_Toc523407962"/>
      <w:r>
        <w:t>O</w:t>
      </w:r>
      <w:r w:rsidR="00A24338">
        <w:t>vercrowding</w:t>
      </w:r>
      <w:bookmarkEnd w:id="29"/>
      <w:r w:rsidR="00AF4042">
        <w:t xml:space="preserve"> </w:t>
      </w:r>
    </w:p>
    <w:p w14:paraId="1B9D89C1" w14:textId="77777777" w:rsidR="00AF4042" w:rsidRDefault="00AF4042" w:rsidP="00AF4042">
      <w:pPr>
        <w:snapToGrid w:val="0"/>
        <w:rPr>
          <w:rFonts w:ascii="Calibri" w:hAnsi="Calibri"/>
          <w:color w:val="000000" w:themeColor="text1"/>
        </w:rPr>
      </w:pPr>
    </w:p>
    <w:p w14:paraId="62B1C005" w14:textId="4B3C7DF5" w:rsidR="00AF4042" w:rsidRDefault="00AF4042" w:rsidP="00471619">
      <w:r>
        <w:t xml:space="preserve">Apart from technical condition of housing, </w:t>
      </w:r>
      <w:r w:rsidR="00D2273F">
        <w:t>t</w:t>
      </w:r>
      <w:r>
        <w:t xml:space="preserve">he assessment of the markets </w:t>
      </w:r>
      <w:r w:rsidR="00194A40">
        <w:t xml:space="preserve">confirms </w:t>
      </w:r>
      <w:r>
        <w:t>the findings of secondary sources about the prevalence of overcrowding in Afghan houses</w:t>
      </w:r>
      <w:r w:rsidR="007C0DA2">
        <w:t xml:space="preserve">. </w:t>
      </w:r>
      <w:r>
        <w:t xml:space="preserve">More than </w:t>
      </w:r>
      <w:r w:rsidR="00D2273F">
        <w:t>two-thirds</w:t>
      </w:r>
      <w:r>
        <w:t xml:space="preserve"> of all households surveyed in the assessment are overcrowded (when using the standard definition of overcrowding as more than 3 people per room). In some local markets this number reaches 94% (Bar Shegi) or 81% of the households (Harchar),</w:t>
      </w:r>
      <w:r w:rsidR="00194A40">
        <w:t xml:space="preserve"> </w:t>
      </w:r>
      <w:r>
        <w:t xml:space="preserve">but does not fall below 65%. The average number of people in one room varies from 4.2 to 5.1. </w:t>
      </w:r>
    </w:p>
    <w:p w14:paraId="58207E12" w14:textId="77777777" w:rsidR="00AF4042" w:rsidRDefault="00AF4042" w:rsidP="00AF4042">
      <w:pPr>
        <w:snapToGrid w:val="0"/>
        <w:rPr>
          <w:rFonts w:ascii="Calibri" w:hAnsi="Calibri"/>
          <w:color w:val="000000" w:themeColor="text1"/>
        </w:rPr>
      </w:pPr>
    </w:p>
    <w:p w14:paraId="724C06A1" w14:textId="5327FE3B" w:rsidR="008B0B3E" w:rsidRDefault="008B0B3E" w:rsidP="008B0B3E">
      <w:r>
        <w:t xml:space="preserve">The average number of people per room slightly increases with the length of stay in the same place: 4.5 people per room for those that have stayed in the current accommodation for less than a month to 5 people per room for the households that stayed in the same place 5 to 15 years. This result reflects the natural growth of families </w:t>
      </w:r>
      <w:r w:rsidR="00194A40">
        <w:t xml:space="preserve">and indicates a </w:t>
      </w:r>
      <w:r>
        <w:t xml:space="preserve">steep dependency ratio with a heavy burden for the working population. </w:t>
      </w:r>
    </w:p>
    <w:p w14:paraId="4D33B9A0" w14:textId="132695FD" w:rsidR="0072529B" w:rsidRDefault="0072529B" w:rsidP="008B0B3E"/>
    <w:p w14:paraId="3287B49E" w14:textId="3499E352" w:rsidR="007B4DA6" w:rsidRDefault="0072529B" w:rsidP="00605CA6">
      <w:r>
        <w:t>While the majority of survey participants see their housing as overcrowded, the perspectives of men and women differ</w:t>
      </w:r>
      <w:r w:rsidR="00BC1BF9">
        <w:t>.</w:t>
      </w:r>
      <w:r>
        <w:t xml:space="preserve"> </w:t>
      </w:r>
      <w:r w:rsidR="00BC1BF9">
        <w:t>W</w:t>
      </w:r>
      <w:r>
        <w:t>omen (who in Afghanistan traditionally spend most of the time at home) report overcrowding significantly more often</w:t>
      </w:r>
      <w:r w:rsidR="00BC1BF9">
        <w:t>:</w:t>
      </w:r>
      <w:r>
        <w:t xml:space="preserve"> </w:t>
      </w:r>
      <w:r w:rsidR="00BC1BF9">
        <w:t>o</w:t>
      </w:r>
      <w:r>
        <w:t>n the average, women living in 1 room houses believed to live in an overcrowded situation 82.5% of the time, while less than a half of men in similar conditions believed their house was overcrowded. For the households with 3 rooms, women believed their houses were overcrowded in 69.9% of cases, while men believed the same in 50.4% of responses</w:t>
      </w:r>
      <w:r w:rsidR="00BC1BF9">
        <w:t>.</w:t>
      </w:r>
    </w:p>
    <w:p w14:paraId="0EB2A2A6" w14:textId="182A1B28" w:rsidR="007D3AD7" w:rsidRDefault="007D3AD7" w:rsidP="00605CA6"/>
    <w:p w14:paraId="226089DA" w14:textId="620F62F5" w:rsidR="007D3AD7" w:rsidRDefault="007D3AD7" w:rsidP="00605CA6"/>
    <w:p w14:paraId="0354302B" w14:textId="77777777" w:rsidR="007D3AD7" w:rsidRPr="00605CA6" w:rsidRDefault="007D3AD7" w:rsidP="00605CA6"/>
    <w:p w14:paraId="7DBDD559" w14:textId="037D7BF1" w:rsidR="007B4DA6" w:rsidRDefault="007B4DA6" w:rsidP="00AF4042">
      <w:pPr>
        <w:snapToGrid w:val="0"/>
        <w:rPr>
          <w:rFonts w:ascii="Calibri" w:hAnsi="Calibri"/>
          <w:color w:val="000000" w:themeColor="text1"/>
        </w:rPr>
      </w:pPr>
    </w:p>
    <w:p w14:paraId="34727A2A" w14:textId="77777777" w:rsidR="0064099E" w:rsidRPr="0064099E" w:rsidRDefault="0064099E" w:rsidP="0064099E">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napToGrid w:val="0"/>
        <w:rPr>
          <w:sz w:val="10"/>
          <w:szCs w:val="20"/>
        </w:rPr>
      </w:pPr>
    </w:p>
    <w:p w14:paraId="60904D25" w14:textId="500D1111" w:rsidR="00AF4042" w:rsidRDefault="00BE07E4" w:rsidP="0064099E">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napToGrid w:val="0"/>
        <w:rPr>
          <w:szCs w:val="20"/>
        </w:rPr>
      </w:pPr>
      <w:r>
        <w:rPr>
          <w:szCs w:val="20"/>
        </w:rPr>
        <w:t>T</w:t>
      </w:r>
      <w:r w:rsidR="00AF4042">
        <w:rPr>
          <w:szCs w:val="20"/>
        </w:rPr>
        <w:t xml:space="preserve">he difference </w:t>
      </w:r>
      <w:r w:rsidR="00194A40">
        <w:rPr>
          <w:szCs w:val="20"/>
        </w:rPr>
        <w:t xml:space="preserve">regarding overcrowding </w:t>
      </w:r>
      <w:r w:rsidR="00AF4042">
        <w:rPr>
          <w:szCs w:val="20"/>
        </w:rPr>
        <w:t xml:space="preserve">between households of different status is minimal and </w:t>
      </w:r>
      <w:r w:rsidR="00194A40">
        <w:rPr>
          <w:szCs w:val="20"/>
        </w:rPr>
        <w:t xml:space="preserve">practically the same for </w:t>
      </w:r>
      <w:r w:rsidR="00AF4042">
        <w:rPr>
          <w:szCs w:val="20"/>
        </w:rPr>
        <w:t>host community</w:t>
      </w:r>
      <w:r w:rsidR="00194A40">
        <w:rPr>
          <w:szCs w:val="20"/>
        </w:rPr>
        <w:t>, I</w:t>
      </w:r>
      <w:r w:rsidR="00AF4042">
        <w:rPr>
          <w:szCs w:val="20"/>
        </w:rPr>
        <w:t>DPs and returnees</w:t>
      </w:r>
      <w:r w:rsidR="00194A40">
        <w:rPr>
          <w:szCs w:val="20"/>
        </w:rPr>
        <w:t xml:space="preserve">. </w:t>
      </w:r>
      <w:r w:rsidR="00AF4042">
        <w:rPr>
          <w:szCs w:val="20"/>
        </w:rPr>
        <w:t>In this respect, the</w:t>
      </w:r>
      <w:r w:rsidR="00E63C92">
        <w:rPr>
          <w:szCs w:val="20"/>
        </w:rPr>
        <w:t xml:space="preserve"> analysis of data did not find that </w:t>
      </w:r>
      <w:r w:rsidR="00AF4042">
        <w:rPr>
          <w:szCs w:val="20"/>
        </w:rPr>
        <w:t xml:space="preserve">displaced households </w:t>
      </w:r>
      <w:r w:rsidR="00CF42B7">
        <w:rPr>
          <w:szCs w:val="20"/>
        </w:rPr>
        <w:t xml:space="preserve">are particularly exposed to overcrowding – </w:t>
      </w:r>
      <w:r w:rsidR="007C0DA2">
        <w:rPr>
          <w:szCs w:val="20"/>
        </w:rPr>
        <w:t>when</w:t>
      </w:r>
      <w:r w:rsidR="00CF42B7">
        <w:rPr>
          <w:szCs w:val="20"/>
        </w:rPr>
        <w:t xml:space="preserve"> compared to poor host community households</w:t>
      </w:r>
      <w:r w:rsidR="00AF4042">
        <w:rPr>
          <w:rStyle w:val="FootnoteReference"/>
          <w:color w:val="000000" w:themeColor="text1"/>
        </w:rPr>
        <w:footnoteReference w:id="25"/>
      </w:r>
      <w:r w:rsidR="00AF4042">
        <w:rPr>
          <w:szCs w:val="20"/>
        </w:rPr>
        <w:t xml:space="preserve">. </w:t>
      </w:r>
      <w:r w:rsidR="00E16FC3">
        <w:rPr>
          <w:szCs w:val="20"/>
        </w:rPr>
        <w:t xml:space="preserve">These facts reinforce the need to continue including vulnerable host community HHs into NRC Shelter </w:t>
      </w:r>
      <w:r w:rsidR="00293794">
        <w:rPr>
          <w:szCs w:val="20"/>
        </w:rPr>
        <w:t xml:space="preserve">assistance </w:t>
      </w:r>
      <w:r w:rsidR="00E16FC3">
        <w:rPr>
          <w:szCs w:val="20"/>
        </w:rPr>
        <w:t xml:space="preserve">programmes. </w:t>
      </w:r>
    </w:p>
    <w:p w14:paraId="765931F8" w14:textId="41A455FE" w:rsidR="0072529B" w:rsidRDefault="0072529B" w:rsidP="0064099E">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napToGrid w:val="0"/>
        <w:rPr>
          <w:szCs w:val="20"/>
        </w:rPr>
      </w:pPr>
    </w:p>
    <w:p w14:paraId="5883CD6F" w14:textId="4AF245DA" w:rsidR="0072529B" w:rsidRPr="0072529B" w:rsidRDefault="0072529B" w:rsidP="0072529B">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napToGrid w:val="0"/>
        <w:rPr>
          <w:szCs w:val="20"/>
        </w:rPr>
      </w:pPr>
      <w:r w:rsidRPr="0072529B">
        <w:rPr>
          <w:szCs w:val="20"/>
        </w:rPr>
        <w:t xml:space="preserve">An externally imposed standard (such </w:t>
      </w:r>
      <w:r w:rsidR="009869AB">
        <w:rPr>
          <w:szCs w:val="20"/>
        </w:rPr>
        <w:t xml:space="preserve">as even the Sphere Standard of </w:t>
      </w:r>
      <w:r w:rsidR="00C60008">
        <w:rPr>
          <w:szCs w:val="20"/>
        </w:rPr>
        <w:t>3.5</w:t>
      </w:r>
      <w:r w:rsidR="009869AB">
        <w:rPr>
          <w:szCs w:val="20"/>
        </w:rPr>
        <w:t>m</w:t>
      </w:r>
      <w:r w:rsidR="009869AB">
        <w:rPr>
          <w:szCs w:val="20"/>
          <w:vertAlign w:val="superscript"/>
        </w:rPr>
        <w:t xml:space="preserve">2 </w:t>
      </w:r>
      <w:r w:rsidR="009869AB">
        <w:rPr>
          <w:szCs w:val="20"/>
        </w:rPr>
        <w:t>of c</w:t>
      </w:r>
      <w:r w:rsidR="009869AB" w:rsidRPr="009869AB">
        <w:rPr>
          <w:szCs w:val="20"/>
        </w:rPr>
        <w:t>overed floor area</w:t>
      </w:r>
      <w:r w:rsidR="009869AB">
        <w:rPr>
          <w:szCs w:val="20"/>
        </w:rPr>
        <w:t xml:space="preserve"> per person</w:t>
      </w:r>
      <w:r w:rsidRPr="0072529B">
        <w:rPr>
          <w:szCs w:val="20"/>
        </w:rPr>
        <w:t>) may not always reflect the contextually specific percepti</w:t>
      </w:r>
      <w:r w:rsidR="00C60008">
        <w:rPr>
          <w:szCs w:val="20"/>
        </w:rPr>
        <w:t xml:space="preserve">on of the respondents themselves. </w:t>
      </w:r>
      <w:r w:rsidR="00293794">
        <w:rPr>
          <w:szCs w:val="20"/>
        </w:rPr>
        <w:t>At the same time, t</w:t>
      </w:r>
      <w:r w:rsidRPr="0072529B">
        <w:rPr>
          <w:szCs w:val="20"/>
        </w:rPr>
        <w:t xml:space="preserve">he </w:t>
      </w:r>
      <w:r w:rsidR="00293794">
        <w:rPr>
          <w:szCs w:val="20"/>
        </w:rPr>
        <w:t xml:space="preserve">results of the </w:t>
      </w:r>
      <w:r w:rsidRPr="0072529B">
        <w:rPr>
          <w:szCs w:val="20"/>
        </w:rPr>
        <w:t xml:space="preserve">assessment </w:t>
      </w:r>
      <w:r w:rsidR="00293794">
        <w:rPr>
          <w:szCs w:val="20"/>
        </w:rPr>
        <w:t>showed that</w:t>
      </w:r>
      <w:r w:rsidR="00293794" w:rsidRPr="0072529B">
        <w:rPr>
          <w:szCs w:val="20"/>
        </w:rPr>
        <w:t xml:space="preserve"> </w:t>
      </w:r>
      <w:r w:rsidRPr="0072529B">
        <w:rPr>
          <w:szCs w:val="20"/>
        </w:rPr>
        <w:t>subjective perception</w:t>
      </w:r>
      <w:r w:rsidR="00293794">
        <w:rPr>
          <w:szCs w:val="20"/>
        </w:rPr>
        <w:t xml:space="preserve"> of</w:t>
      </w:r>
      <w:r w:rsidRPr="0072529B">
        <w:rPr>
          <w:szCs w:val="20"/>
        </w:rPr>
        <w:t xml:space="preserve"> overcrowding </w:t>
      </w:r>
      <w:r w:rsidR="005A029C">
        <w:rPr>
          <w:szCs w:val="20"/>
        </w:rPr>
        <w:t>followed</w:t>
      </w:r>
      <w:r w:rsidRPr="0072529B">
        <w:rPr>
          <w:szCs w:val="20"/>
        </w:rPr>
        <w:t xml:space="preserve"> very closely the</w:t>
      </w:r>
      <w:r w:rsidR="00293794">
        <w:rPr>
          <w:szCs w:val="20"/>
        </w:rPr>
        <w:t xml:space="preserve"> external standard: </w:t>
      </w:r>
      <w:r w:rsidRPr="0072529B">
        <w:rPr>
          <w:szCs w:val="20"/>
        </w:rPr>
        <w:t xml:space="preserve">Afghanistan households would also </w:t>
      </w:r>
      <w:r w:rsidR="00C60008">
        <w:rPr>
          <w:szCs w:val="20"/>
        </w:rPr>
        <w:t xml:space="preserve">consider </w:t>
      </w:r>
      <w:r w:rsidR="005A029C">
        <w:rPr>
          <w:szCs w:val="20"/>
        </w:rPr>
        <w:t xml:space="preserve">over </w:t>
      </w:r>
      <w:r w:rsidRPr="0072529B">
        <w:rPr>
          <w:szCs w:val="20"/>
        </w:rPr>
        <w:t>3 people per room as the limit of overcrowding.</w:t>
      </w:r>
    </w:p>
    <w:p w14:paraId="7D30F712" w14:textId="77777777" w:rsidR="0064099E" w:rsidRPr="0064099E" w:rsidRDefault="0064099E" w:rsidP="0064099E">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napToGrid w:val="0"/>
        <w:rPr>
          <w:sz w:val="10"/>
          <w:szCs w:val="20"/>
        </w:rPr>
      </w:pPr>
    </w:p>
    <w:p w14:paraId="5672DCF2" w14:textId="1FD9F4F7" w:rsidR="00E12798" w:rsidRDefault="00E12798" w:rsidP="006B5182"/>
    <w:p w14:paraId="7EEB9D16" w14:textId="5EA9710B" w:rsidR="004D38EB" w:rsidRDefault="002225AD" w:rsidP="00115A3E">
      <w:pPr>
        <w:pStyle w:val="Heading2"/>
      </w:pPr>
      <w:bookmarkStart w:id="30" w:name="_Toc523407963"/>
      <w:r>
        <w:t>Security of Tenure</w:t>
      </w:r>
      <w:r w:rsidR="009B479D">
        <w:t xml:space="preserve"> and the Formalization of Rental Contracts</w:t>
      </w:r>
      <w:bookmarkEnd w:id="30"/>
    </w:p>
    <w:p w14:paraId="479CC155" w14:textId="63B1B9AC" w:rsidR="00EF6B67" w:rsidRDefault="00EF6B67" w:rsidP="00EF6B67"/>
    <w:p w14:paraId="2C136BDF" w14:textId="55A7BF55" w:rsidR="009F3B06" w:rsidRPr="00AE2207" w:rsidRDefault="00C60008" w:rsidP="00C13AF9">
      <w:pPr>
        <w:pStyle w:val="NoSpacing"/>
        <w:rPr>
          <w:rFonts w:ascii="Franklin Gothic Book" w:hAnsi="Franklin Gothic Book"/>
          <w:sz w:val="20"/>
          <w:szCs w:val="20"/>
        </w:rPr>
      </w:pPr>
      <w:r>
        <w:rPr>
          <w:rFonts w:ascii="Franklin Gothic Book" w:hAnsi="Franklin Gothic Book"/>
          <w:sz w:val="20"/>
          <w:szCs w:val="20"/>
        </w:rPr>
        <w:t>S</w:t>
      </w:r>
      <w:r w:rsidR="00046E93" w:rsidRPr="00115A3E">
        <w:rPr>
          <w:rFonts w:ascii="Franklin Gothic Book" w:hAnsi="Franklin Gothic Book"/>
          <w:sz w:val="20"/>
          <w:szCs w:val="20"/>
        </w:rPr>
        <w:t xml:space="preserve">ecurity of tenure represents one of the most significant </w:t>
      </w:r>
      <w:r w:rsidR="000945FB" w:rsidRPr="00115A3E">
        <w:rPr>
          <w:rFonts w:ascii="Franklin Gothic Book" w:hAnsi="Franklin Gothic Book"/>
          <w:sz w:val="20"/>
          <w:szCs w:val="20"/>
        </w:rPr>
        <w:t xml:space="preserve">challenges for the </w:t>
      </w:r>
      <w:r w:rsidR="00046E93" w:rsidRPr="00115A3E">
        <w:rPr>
          <w:rFonts w:ascii="Franklin Gothic Book" w:hAnsi="Franklin Gothic Book"/>
          <w:sz w:val="20"/>
          <w:szCs w:val="20"/>
        </w:rPr>
        <w:t xml:space="preserve">Afghan housing and rental market: </w:t>
      </w:r>
      <w:r w:rsidR="00046E93" w:rsidRPr="00115A3E">
        <w:rPr>
          <w:rFonts w:ascii="Franklin Gothic Book" w:eastAsia="AGaramondPro-Regular" w:hAnsi="Franklin Gothic Book" w:cs="AGaramondPro-Regular"/>
          <w:sz w:val="20"/>
          <w:szCs w:val="20"/>
        </w:rPr>
        <w:t>“</w:t>
      </w:r>
      <w:r w:rsidR="00046E93" w:rsidRPr="00115A3E">
        <w:rPr>
          <w:rFonts w:ascii="Franklin Gothic Book" w:hAnsi="Franklin Gothic Book"/>
          <w:sz w:val="20"/>
          <w:szCs w:val="20"/>
        </w:rPr>
        <w:t>The lack of access to adequate, legal and formal land and housing is a key driver of conflict, fostering socio-spatial exclusion and urban inequality, and undermining government legitimacy and state-building efforts”</w:t>
      </w:r>
      <w:r w:rsidR="00046E93" w:rsidRPr="00115A3E">
        <w:rPr>
          <w:rStyle w:val="FootnoteReference"/>
          <w:rFonts w:ascii="Franklin Gothic Book" w:hAnsi="Franklin Gothic Book"/>
          <w:sz w:val="20"/>
          <w:szCs w:val="20"/>
        </w:rPr>
        <w:footnoteReference w:id="26"/>
      </w:r>
      <w:r w:rsidR="00046E93" w:rsidRPr="00115A3E">
        <w:rPr>
          <w:rFonts w:ascii="Franklin Gothic Book" w:hAnsi="Franklin Gothic Book"/>
          <w:sz w:val="20"/>
          <w:szCs w:val="20"/>
        </w:rPr>
        <w:t xml:space="preserve">. </w:t>
      </w:r>
      <w:r w:rsidR="00947663">
        <w:rPr>
          <w:rFonts w:ascii="Franklin Gothic Book" w:hAnsi="Franklin Gothic Book"/>
          <w:sz w:val="20"/>
          <w:szCs w:val="20"/>
        </w:rPr>
        <w:t>Lack of land and of s</w:t>
      </w:r>
      <w:r w:rsidR="00C13AF9" w:rsidRPr="00115A3E">
        <w:rPr>
          <w:rFonts w:ascii="Franklin Gothic Book" w:hAnsi="Franklin Gothic Book"/>
          <w:sz w:val="20"/>
          <w:szCs w:val="20"/>
        </w:rPr>
        <w:t xml:space="preserve">ecurity of tenure, </w:t>
      </w:r>
      <w:r w:rsidR="00243141">
        <w:rPr>
          <w:rFonts w:ascii="Franklin Gothic Book" w:hAnsi="Franklin Gothic Book"/>
          <w:sz w:val="20"/>
          <w:szCs w:val="20"/>
        </w:rPr>
        <w:t>is also</w:t>
      </w:r>
      <w:r w:rsidR="00C13AF9" w:rsidRPr="00115A3E">
        <w:rPr>
          <w:rFonts w:ascii="Franklin Gothic Book" w:hAnsi="Franklin Gothic Book"/>
          <w:sz w:val="20"/>
          <w:szCs w:val="20"/>
        </w:rPr>
        <w:t xml:space="preserve"> recognized to be one of the key obstacles in access to housing for displaced population and has been reflected in the </w:t>
      </w:r>
      <w:r w:rsidR="00C13AF9" w:rsidRPr="00115A3E">
        <w:rPr>
          <w:rFonts w:ascii="Franklin Gothic Book" w:eastAsia="AGaramondPro-Regular" w:hAnsi="Franklin Gothic Book" w:cs="AGaramondPro-Regular"/>
          <w:sz w:val="20"/>
          <w:szCs w:val="20"/>
        </w:rPr>
        <w:t>2013 National Policy on Internally Displaced Persons</w:t>
      </w:r>
      <w:r w:rsidR="00C13AF9" w:rsidRPr="00115A3E">
        <w:rPr>
          <w:rStyle w:val="FootnoteReference"/>
          <w:rFonts w:ascii="Franklin Gothic Book" w:eastAsia="AGaramondPro-Regular" w:hAnsi="Franklin Gothic Book" w:cs="AGaramondPro-Regular"/>
          <w:sz w:val="20"/>
          <w:szCs w:val="20"/>
        </w:rPr>
        <w:footnoteReference w:id="27"/>
      </w:r>
      <w:r>
        <w:rPr>
          <w:rFonts w:ascii="Franklin Gothic Book" w:eastAsia="AGaramondPro-Regular" w:hAnsi="Franklin Gothic Book" w:cs="AGaramondPro-Regular"/>
          <w:sz w:val="20"/>
          <w:szCs w:val="20"/>
        </w:rPr>
        <w:t xml:space="preserve">. </w:t>
      </w:r>
    </w:p>
    <w:p w14:paraId="69DA6F41" w14:textId="77777777" w:rsidR="00271271" w:rsidRDefault="00271271" w:rsidP="00813D8F">
      <w:pPr>
        <w:pStyle w:val="NoSpacing"/>
        <w:rPr>
          <w:rFonts w:ascii="Franklin Gothic Book" w:hAnsi="Franklin Gothic Book"/>
          <w:sz w:val="20"/>
          <w:szCs w:val="20"/>
        </w:rPr>
      </w:pPr>
    </w:p>
    <w:p w14:paraId="4FE8DA56" w14:textId="5CEA4453" w:rsidR="00813D8F" w:rsidRPr="00115A3E" w:rsidRDefault="00F33847" w:rsidP="0068076D">
      <w:pPr>
        <w:pStyle w:val="NoSpacing"/>
        <w:rPr>
          <w:rFonts w:ascii="Franklin Gothic Book" w:hAnsi="Franklin Gothic Book"/>
          <w:sz w:val="20"/>
          <w:szCs w:val="20"/>
        </w:rPr>
      </w:pPr>
      <w:r w:rsidRPr="00115A3E">
        <w:rPr>
          <w:rFonts w:ascii="Franklin Gothic Book" w:hAnsi="Franklin Gothic Book"/>
          <w:sz w:val="20"/>
          <w:szCs w:val="20"/>
        </w:rPr>
        <w:t>In</w:t>
      </w:r>
      <w:r w:rsidR="00317E23" w:rsidRPr="00115A3E">
        <w:rPr>
          <w:rFonts w:ascii="Franklin Gothic Book" w:hAnsi="Franklin Gothic Book"/>
          <w:sz w:val="20"/>
          <w:szCs w:val="20"/>
        </w:rPr>
        <w:t xml:space="preserve"> all of the </w:t>
      </w:r>
      <w:r w:rsidR="0041587F" w:rsidRPr="00115A3E">
        <w:rPr>
          <w:rFonts w:ascii="Franklin Gothic Book" w:hAnsi="Franklin Gothic Book"/>
          <w:sz w:val="20"/>
          <w:szCs w:val="20"/>
        </w:rPr>
        <w:t xml:space="preserve">markets </w:t>
      </w:r>
      <w:r w:rsidRPr="00115A3E">
        <w:rPr>
          <w:rFonts w:ascii="Franklin Gothic Book" w:hAnsi="Franklin Gothic Book"/>
          <w:sz w:val="20"/>
          <w:szCs w:val="20"/>
        </w:rPr>
        <w:t xml:space="preserve">analyzed </w:t>
      </w:r>
      <w:r w:rsidR="0041587F" w:rsidRPr="00115A3E">
        <w:rPr>
          <w:rFonts w:ascii="Franklin Gothic Book" w:hAnsi="Franklin Gothic Book"/>
          <w:sz w:val="20"/>
          <w:szCs w:val="20"/>
        </w:rPr>
        <w:t>the majority of the tenants rely on verbal</w:t>
      </w:r>
      <w:r w:rsidR="00A14173" w:rsidRPr="00115A3E">
        <w:rPr>
          <w:rFonts w:ascii="Franklin Gothic Book" w:hAnsi="Franklin Gothic Book"/>
          <w:sz w:val="20"/>
          <w:szCs w:val="20"/>
        </w:rPr>
        <w:t>, rather than written</w:t>
      </w:r>
      <w:r w:rsidR="0041587F" w:rsidRPr="00115A3E">
        <w:rPr>
          <w:rFonts w:ascii="Franklin Gothic Book" w:hAnsi="Franklin Gothic Book"/>
          <w:sz w:val="20"/>
          <w:szCs w:val="20"/>
        </w:rPr>
        <w:t xml:space="preserve"> agreements with landlords: only 32% of the households surveyed had </w:t>
      </w:r>
      <w:r w:rsidR="00317E23" w:rsidRPr="00115A3E">
        <w:rPr>
          <w:rFonts w:ascii="Franklin Gothic Book" w:hAnsi="Franklin Gothic Book"/>
          <w:sz w:val="20"/>
          <w:szCs w:val="20"/>
        </w:rPr>
        <w:t>some form of a</w:t>
      </w:r>
      <w:r w:rsidR="0041587F" w:rsidRPr="00115A3E">
        <w:rPr>
          <w:rFonts w:ascii="Franklin Gothic Book" w:hAnsi="Franklin Gothic Book"/>
          <w:sz w:val="20"/>
          <w:szCs w:val="20"/>
        </w:rPr>
        <w:t xml:space="preserve"> written </w:t>
      </w:r>
      <w:r w:rsidR="00A14173" w:rsidRPr="00115A3E">
        <w:rPr>
          <w:rFonts w:ascii="Franklin Gothic Book" w:hAnsi="Franklin Gothic Book"/>
          <w:sz w:val="20"/>
          <w:szCs w:val="20"/>
        </w:rPr>
        <w:t>contract</w:t>
      </w:r>
      <w:r w:rsidR="0041587F" w:rsidRPr="00115A3E">
        <w:rPr>
          <w:rFonts w:ascii="Franklin Gothic Book" w:hAnsi="Franklin Gothic Book"/>
          <w:sz w:val="20"/>
          <w:szCs w:val="20"/>
        </w:rPr>
        <w:t xml:space="preserve"> with the landlord</w:t>
      </w:r>
      <w:r w:rsidR="00A47312" w:rsidRPr="00115A3E">
        <w:rPr>
          <w:rFonts w:ascii="Franklin Gothic Book" w:hAnsi="Franklin Gothic Book"/>
          <w:sz w:val="20"/>
          <w:szCs w:val="20"/>
        </w:rPr>
        <w:t xml:space="preserve">. </w:t>
      </w:r>
      <w:r w:rsidR="009D794E" w:rsidRPr="00115A3E">
        <w:rPr>
          <w:rFonts w:ascii="Franklin Gothic Book" w:hAnsi="Franklin Gothic Book"/>
          <w:sz w:val="20"/>
          <w:szCs w:val="20"/>
        </w:rPr>
        <w:t xml:space="preserve">Written (formalized) tenure </w:t>
      </w:r>
      <w:r w:rsidR="00CD3CB9" w:rsidRPr="00115A3E">
        <w:rPr>
          <w:rFonts w:ascii="Franklin Gothic Book" w:hAnsi="Franklin Gothic Book"/>
          <w:sz w:val="20"/>
          <w:szCs w:val="20"/>
        </w:rPr>
        <w:t>agreement</w:t>
      </w:r>
      <w:r w:rsidR="00EE159D" w:rsidRPr="00115A3E">
        <w:rPr>
          <w:rFonts w:ascii="Franklin Gothic Book" w:hAnsi="Franklin Gothic Book"/>
          <w:sz w:val="20"/>
          <w:szCs w:val="20"/>
        </w:rPr>
        <w:t xml:space="preserve">s </w:t>
      </w:r>
      <w:r w:rsidR="00715749" w:rsidRPr="00115A3E">
        <w:rPr>
          <w:rFonts w:ascii="Franklin Gothic Book" w:hAnsi="Franklin Gothic Book"/>
          <w:sz w:val="20"/>
          <w:szCs w:val="20"/>
        </w:rPr>
        <w:t xml:space="preserve">are more common in upper brackets of the market, for the more expensive urban housing units of higher quality: </w:t>
      </w:r>
      <w:r w:rsidR="00A14173" w:rsidRPr="00115A3E">
        <w:rPr>
          <w:rFonts w:ascii="Franklin Gothic Book" w:hAnsi="Franklin Gothic Book"/>
          <w:sz w:val="20"/>
          <w:szCs w:val="20"/>
        </w:rPr>
        <w:t xml:space="preserve">for </w:t>
      </w:r>
      <w:r w:rsidR="00715749" w:rsidRPr="00115A3E">
        <w:rPr>
          <w:rFonts w:ascii="Franklin Gothic Book" w:hAnsi="Franklin Gothic Book"/>
          <w:sz w:val="20"/>
          <w:szCs w:val="20"/>
        </w:rPr>
        <w:t xml:space="preserve">housing that is priced under </w:t>
      </w:r>
      <w:r w:rsidR="00CF42B7">
        <w:rPr>
          <w:rFonts w:ascii="Franklin Gothic Book" w:hAnsi="Franklin Gothic Book"/>
          <w:sz w:val="20"/>
          <w:szCs w:val="20"/>
        </w:rPr>
        <w:t>2</w:t>
      </w:r>
      <w:r w:rsidR="00F83C6D">
        <w:rPr>
          <w:rFonts w:ascii="Franklin Gothic Book" w:hAnsi="Franklin Gothic Book"/>
          <w:sz w:val="20"/>
          <w:szCs w:val="20"/>
        </w:rPr>
        <w:t>,</w:t>
      </w:r>
      <w:r w:rsidR="00CF42B7">
        <w:rPr>
          <w:rFonts w:ascii="Franklin Gothic Book" w:hAnsi="Franklin Gothic Book"/>
          <w:sz w:val="20"/>
          <w:szCs w:val="20"/>
        </w:rPr>
        <w:t>500</w:t>
      </w:r>
      <w:r w:rsidR="00F83C6D">
        <w:rPr>
          <w:rFonts w:ascii="Franklin Gothic Book" w:hAnsi="Franklin Gothic Book"/>
          <w:sz w:val="20"/>
          <w:szCs w:val="20"/>
        </w:rPr>
        <w:t xml:space="preserve"> </w:t>
      </w:r>
      <w:r w:rsidR="00715749" w:rsidRPr="00115A3E">
        <w:rPr>
          <w:rFonts w:ascii="Franklin Gothic Book" w:hAnsi="Franklin Gothic Book"/>
          <w:sz w:val="20"/>
          <w:szCs w:val="20"/>
        </w:rPr>
        <w:t xml:space="preserve">AFN per month only 14.5% of rental agreements are </w:t>
      </w:r>
      <w:r w:rsidR="00727F6F" w:rsidRPr="00115A3E">
        <w:rPr>
          <w:rFonts w:ascii="Franklin Gothic Book" w:hAnsi="Franklin Gothic Book"/>
          <w:sz w:val="20"/>
          <w:szCs w:val="20"/>
        </w:rPr>
        <w:t>in writing</w:t>
      </w:r>
      <w:r w:rsidR="00CF42B7">
        <w:rPr>
          <w:rFonts w:ascii="Franklin Gothic Book" w:hAnsi="Franklin Gothic Book"/>
          <w:sz w:val="20"/>
          <w:szCs w:val="20"/>
        </w:rPr>
        <w:t xml:space="preserve"> (21.5% of households)</w:t>
      </w:r>
      <w:r w:rsidR="00715749" w:rsidRPr="00115A3E">
        <w:rPr>
          <w:rFonts w:ascii="Franklin Gothic Book" w:hAnsi="Franklin Gothic Book"/>
          <w:sz w:val="20"/>
          <w:szCs w:val="20"/>
        </w:rPr>
        <w:t xml:space="preserve">, while </w:t>
      </w:r>
      <w:r w:rsidR="00A14173" w:rsidRPr="00115A3E">
        <w:rPr>
          <w:rFonts w:ascii="Franklin Gothic Book" w:hAnsi="Franklin Gothic Book"/>
          <w:sz w:val="20"/>
          <w:szCs w:val="20"/>
        </w:rPr>
        <w:t>for</w:t>
      </w:r>
      <w:r w:rsidR="00715749" w:rsidRPr="00115A3E">
        <w:rPr>
          <w:rFonts w:ascii="Franklin Gothic Book" w:hAnsi="Franklin Gothic Book"/>
          <w:sz w:val="20"/>
          <w:szCs w:val="20"/>
        </w:rPr>
        <w:t xml:space="preserve"> housing units that cost over 1</w:t>
      </w:r>
      <w:r w:rsidR="00CF42B7">
        <w:rPr>
          <w:rFonts w:ascii="Franklin Gothic Book" w:hAnsi="Franklin Gothic Book"/>
          <w:sz w:val="20"/>
          <w:szCs w:val="20"/>
        </w:rPr>
        <w:t>0</w:t>
      </w:r>
      <w:r w:rsidR="00115A3E">
        <w:rPr>
          <w:rFonts w:ascii="Franklin Gothic Book" w:hAnsi="Franklin Gothic Book"/>
          <w:sz w:val="20"/>
          <w:szCs w:val="20"/>
        </w:rPr>
        <w:t>,</w:t>
      </w:r>
      <w:r w:rsidR="00715749" w:rsidRPr="00115A3E">
        <w:rPr>
          <w:rFonts w:ascii="Franklin Gothic Book" w:hAnsi="Franklin Gothic Book"/>
          <w:sz w:val="20"/>
          <w:szCs w:val="20"/>
        </w:rPr>
        <w:t>000</w:t>
      </w:r>
      <w:r w:rsidR="00115A3E">
        <w:rPr>
          <w:rFonts w:ascii="Franklin Gothic Book" w:hAnsi="Franklin Gothic Book"/>
          <w:sz w:val="20"/>
          <w:szCs w:val="20"/>
        </w:rPr>
        <w:t xml:space="preserve"> </w:t>
      </w:r>
      <w:r w:rsidR="00715749" w:rsidRPr="00115A3E">
        <w:rPr>
          <w:rFonts w:ascii="Franklin Gothic Book" w:hAnsi="Franklin Gothic Book"/>
          <w:sz w:val="20"/>
          <w:szCs w:val="20"/>
        </w:rPr>
        <w:t>AFN</w:t>
      </w:r>
      <w:r w:rsidR="00F83C6D">
        <w:rPr>
          <w:rFonts w:ascii="Franklin Gothic Book" w:hAnsi="Franklin Gothic Book"/>
          <w:sz w:val="20"/>
          <w:szCs w:val="20"/>
        </w:rPr>
        <w:t>,</w:t>
      </w:r>
      <w:r w:rsidR="00715749" w:rsidRPr="00115A3E">
        <w:rPr>
          <w:rFonts w:ascii="Franklin Gothic Book" w:hAnsi="Franklin Gothic Book"/>
          <w:sz w:val="20"/>
          <w:szCs w:val="20"/>
        </w:rPr>
        <w:t xml:space="preserve"> 5</w:t>
      </w:r>
      <w:r w:rsidR="00CF42B7">
        <w:rPr>
          <w:rFonts w:ascii="Franklin Gothic Book" w:hAnsi="Franklin Gothic Book"/>
          <w:sz w:val="20"/>
          <w:szCs w:val="20"/>
        </w:rPr>
        <w:t>3</w:t>
      </w:r>
      <w:r w:rsidR="00715749" w:rsidRPr="00115A3E">
        <w:rPr>
          <w:rFonts w:ascii="Franklin Gothic Book" w:hAnsi="Franklin Gothic Book"/>
          <w:sz w:val="20"/>
          <w:szCs w:val="20"/>
        </w:rPr>
        <w:t>.6% of contracts are made in writing</w:t>
      </w:r>
      <w:r w:rsidR="00CF42B7">
        <w:rPr>
          <w:rFonts w:ascii="Franklin Gothic Book" w:hAnsi="Franklin Gothic Book"/>
          <w:sz w:val="20"/>
          <w:szCs w:val="20"/>
        </w:rPr>
        <w:t xml:space="preserve"> (those represent 7.3% of all households</w:t>
      </w:r>
      <w:r w:rsidR="00FA56E3">
        <w:rPr>
          <w:rFonts w:ascii="Franklin Gothic Book" w:hAnsi="Franklin Gothic Book"/>
          <w:sz w:val="20"/>
          <w:szCs w:val="20"/>
        </w:rPr>
        <w:t xml:space="preserve"> surveyed</w:t>
      </w:r>
      <w:r w:rsidR="00CF42B7">
        <w:rPr>
          <w:rFonts w:ascii="Franklin Gothic Book" w:hAnsi="Franklin Gothic Book"/>
          <w:sz w:val="20"/>
          <w:szCs w:val="20"/>
        </w:rPr>
        <w:t>)</w:t>
      </w:r>
      <w:r w:rsidR="00050CAC">
        <w:rPr>
          <w:rFonts w:ascii="Franklin Gothic Book" w:hAnsi="Franklin Gothic Book"/>
          <w:sz w:val="20"/>
          <w:szCs w:val="20"/>
        </w:rPr>
        <w:t xml:space="preserve">. </w:t>
      </w:r>
    </w:p>
    <w:p w14:paraId="64E5440C" w14:textId="3C3DC31E" w:rsidR="00DD1C54" w:rsidRPr="00115A3E" w:rsidRDefault="00DD1C54" w:rsidP="00046E93">
      <w:pPr>
        <w:pStyle w:val="NoSpacing"/>
        <w:rPr>
          <w:rFonts w:ascii="Franklin Gothic Book" w:hAnsi="Franklin Gothic Book"/>
          <w:sz w:val="20"/>
          <w:szCs w:val="20"/>
        </w:rPr>
      </w:pPr>
    </w:p>
    <w:p w14:paraId="211C5EEE" w14:textId="6C76C311" w:rsidR="00720F8A" w:rsidRDefault="00050CAC" w:rsidP="00720F8A">
      <w:pPr>
        <w:pStyle w:val="NoSpacing"/>
        <w:rPr>
          <w:rFonts w:ascii="Franklin Gothic Book" w:hAnsi="Franklin Gothic Book"/>
          <w:sz w:val="20"/>
          <w:szCs w:val="20"/>
        </w:rPr>
      </w:pPr>
      <w:r w:rsidRPr="00115A3E">
        <w:rPr>
          <w:rFonts w:ascii="Franklin Gothic Book" w:hAnsi="Franklin Gothic Book"/>
          <w:sz w:val="20"/>
          <w:szCs w:val="20"/>
        </w:rPr>
        <w:t>The</w:t>
      </w:r>
      <w:r>
        <w:rPr>
          <w:rFonts w:ascii="Franklin Gothic Book" w:hAnsi="Franklin Gothic Book"/>
          <w:sz w:val="20"/>
          <w:szCs w:val="20"/>
        </w:rPr>
        <w:t xml:space="preserve"> </w:t>
      </w:r>
      <w:r w:rsidRPr="00115A3E">
        <w:rPr>
          <w:rFonts w:ascii="Franklin Gothic Book" w:hAnsi="Franklin Gothic Book"/>
          <w:sz w:val="20"/>
          <w:szCs w:val="20"/>
        </w:rPr>
        <w:t xml:space="preserve">prevalence of </w:t>
      </w:r>
      <w:r w:rsidR="00052219">
        <w:rPr>
          <w:rFonts w:ascii="Franklin Gothic Book" w:hAnsi="Franklin Gothic Book"/>
          <w:sz w:val="20"/>
          <w:szCs w:val="20"/>
        </w:rPr>
        <w:t xml:space="preserve">verbal vs. </w:t>
      </w:r>
      <w:r w:rsidRPr="00115A3E">
        <w:rPr>
          <w:rFonts w:ascii="Franklin Gothic Book" w:hAnsi="Franklin Gothic Book"/>
          <w:sz w:val="20"/>
          <w:szCs w:val="20"/>
        </w:rPr>
        <w:t xml:space="preserve">written agreements </w:t>
      </w:r>
      <w:r w:rsidR="00FA56E3">
        <w:rPr>
          <w:rFonts w:ascii="Franklin Gothic Book" w:hAnsi="Franklin Gothic Book"/>
          <w:sz w:val="20"/>
          <w:szCs w:val="20"/>
        </w:rPr>
        <w:t xml:space="preserve">(i.d., the proportion of households holding a written contract) </w:t>
      </w:r>
      <w:r w:rsidRPr="00115A3E">
        <w:rPr>
          <w:rFonts w:ascii="Franklin Gothic Book" w:hAnsi="Franklin Gothic Book"/>
          <w:sz w:val="20"/>
          <w:szCs w:val="20"/>
        </w:rPr>
        <w:t xml:space="preserve">seems to be a feature of the </w:t>
      </w:r>
      <w:r w:rsidR="00FA56E3">
        <w:rPr>
          <w:rFonts w:ascii="Franklin Gothic Book" w:hAnsi="Franklin Gothic Book"/>
          <w:sz w:val="20"/>
          <w:szCs w:val="20"/>
        </w:rPr>
        <w:t xml:space="preserve">local </w:t>
      </w:r>
      <w:r w:rsidRPr="00115A3E">
        <w:rPr>
          <w:rFonts w:ascii="Franklin Gothic Book" w:hAnsi="Franklin Gothic Book"/>
          <w:sz w:val="20"/>
          <w:szCs w:val="20"/>
        </w:rPr>
        <w:t>market</w:t>
      </w:r>
      <w:r w:rsidR="00FA56E3">
        <w:rPr>
          <w:rFonts w:ascii="Franklin Gothic Book" w:hAnsi="Franklin Gothic Book"/>
          <w:sz w:val="20"/>
          <w:szCs w:val="20"/>
        </w:rPr>
        <w:t xml:space="preserve"> and varies from over 33% in Jalalabad and Behsud district to practically none in Chamtala and Bar Shegi</w:t>
      </w:r>
      <w:r w:rsidR="00052219">
        <w:rPr>
          <w:rFonts w:ascii="Franklin Gothic Book" w:hAnsi="Franklin Gothic Book"/>
          <w:sz w:val="20"/>
          <w:szCs w:val="20"/>
        </w:rPr>
        <w:t>.</w:t>
      </w:r>
      <w:r>
        <w:rPr>
          <w:rFonts w:ascii="Franklin Gothic Book" w:hAnsi="Franklin Gothic Book"/>
          <w:sz w:val="20"/>
          <w:szCs w:val="20"/>
        </w:rPr>
        <w:t xml:space="preserve"> </w:t>
      </w:r>
      <w:r w:rsidR="00FA56E3">
        <w:rPr>
          <w:rFonts w:ascii="Franklin Gothic Book" w:hAnsi="Franklin Gothic Book"/>
          <w:sz w:val="20"/>
          <w:szCs w:val="20"/>
        </w:rPr>
        <w:t xml:space="preserve">Discrimination of displaced populations regarding security of tenure also depends on locality: while in </w:t>
      </w:r>
      <w:r>
        <w:rPr>
          <w:rFonts w:ascii="Franklin Gothic Book" w:hAnsi="Franklin Gothic Book"/>
          <w:sz w:val="20"/>
          <w:szCs w:val="20"/>
        </w:rPr>
        <w:t xml:space="preserve">some markets no discrimination is apparent, in other markets displaced households appear to be clearly at a disadvantage regarding </w:t>
      </w:r>
      <w:r w:rsidR="00FA56E3">
        <w:rPr>
          <w:rFonts w:ascii="Franklin Gothic Book" w:hAnsi="Franklin Gothic Book"/>
          <w:sz w:val="20"/>
          <w:szCs w:val="20"/>
        </w:rPr>
        <w:t>access to written agreements</w:t>
      </w:r>
      <w:r w:rsidR="00720F8A">
        <w:rPr>
          <w:rFonts w:ascii="Franklin Gothic Book" w:hAnsi="Franklin Gothic Book"/>
          <w:sz w:val="20"/>
          <w:szCs w:val="20"/>
        </w:rPr>
        <w:t>.</w:t>
      </w:r>
    </w:p>
    <w:p w14:paraId="4599A34A" w14:textId="77777777" w:rsidR="00720F8A" w:rsidRDefault="00720F8A" w:rsidP="00720F8A">
      <w:pPr>
        <w:pStyle w:val="NoSpacing"/>
        <w:rPr>
          <w:rFonts w:ascii="Franklin Gothic Book" w:hAnsi="Franklin Gothic Book"/>
          <w:sz w:val="20"/>
          <w:szCs w:val="20"/>
        </w:rPr>
      </w:pPr>
    </w:p>
    <w:p w14:paraId="5F0A3BB2" w14:textId="1CB43FD8" w:rsidR="00720F8A" w:rsidRDefault="00052219" w:rsidP="00720F8A">
      <w:pPr>
        <w:pStyle w:val="NoSpacing"/>
        <w:rPr>
          <w:rFonts w:ascii="Franklin Gothic Book" w:hAnsi="Franklin Gothic Book"/>
          <w:sz w:val="20"/>
          <w:szCs w:val="20"/>
        </w:rPr>
      </w:pPr>
      <w:r>
        <w:rPr>
          <w:rFonts w:ascii="Franklin Gothic Book" w:hAnsi="Franklin Gothic Book"/>
          <w:sz w:val="20"/>
          <w:szCs w:val="20"/>
        </w:rPr>
        <w:t xml:space="preserve">In </w:t>
      </w:r>
      <w:r w:rsidR="00B17D46">
        <w:rPr>
          <w:rFonts w:ascii="Franklin Gothic Book" w:hAnsi="Franklin Gothic Book"/>
          <w:sz w:val="20"/>
          <w:szCs w:val="20"/>
        </w:rPr>
        <w:t>Jalalabad district</w:t>
      </w:r>
      <w:r w:rsidR="00720F8A">
        <w:rPr>
          <w:rFonts w:ascii="Franklin Gothic Book" w:hAnsi="Franklin Gothic Book"/>
          <w:sz w:val="20"/>
          <w:szCs w:val="20"/>
        </w:rPr>
        <w:t xml:space="preserve"> </w:t>
      </w:r>
      <w:r w:rsidR="00FA56E3">
        <w:rPr>
          <w:rFonts w:ascii="Franklin Gothic Book" w:hAnsi="Franklin Gothic Book"/>
          <w:sz w:val="20"/>
          <w:szCs w:val="20"/>
        </w:rPr>
        <w:t>written</w:t>
      </w:r>
      <w:r w:rsidR="00720F8A" w:rsidRPr="00115A3E">
        <w:rPr>
          <w:rFonts w:ascii="Franklin Gothic Book" w:hAnsi="Franklin Gothic Book"/>
          <w:sz w:val="20"/>
          <w:szCs w:val="20"/>
        </w:rPr>
        <w:t xml:space="preserve"> contracts are </w:t>
      </w:r>
      <w:r w:rsidR="00FA56E3">
        <w:rPr>
          <w:rFonts w:ascii="Franklin Gothic Book" w:hAnsi="Franklin Gothic Book"/>
          <w:sz w:val="20"/>
          <w:szCs w:val="20"/>
        </w:rPr>
        <w:t xml:space="preserve">common </w:t>
      </w:r>
      <w:r w:rsidR="00720F8A" w:rsidRPr="00115A3E">
        <w:rPr>
          <w:rFonts w:ascii="Franklin Gothic Book" w:hAnsi="Franklin Gothic Book"/>
          <w:sz w:val="20"/>
          <w:szCs w:val="20"/>
        </w:rPr>
        <w:t>(</w:t>
      </w:r>
      <w:r w:rsidR="00FA56E3">
        <w:rPr>
          <w:rFonts w:ascii="Franklin Gothic Book" w:hAnsi="Franklin Gothic Book"/>
          <w:sz w:val="20"/>
          <w:szCs w:val="20"/>
        </w:rPr>
        <w:t xml:space="preserve">in some particular communes most of the agreements are in writing: </w:t>
      </w:r>
      <w:r w:rsidR="00720F8A" w:rsidRPr="00115A3E">
        <w:rPr>
          <w:rFonts w:ascii="Franklin Gothic Book" w:hAnsi="Franklin Gothic Book"/>
          <w:sz w:val="20"/>
          <w:szCs w:val="20"/>
        </w:rPr>
        <w:t>Wahdat mena – 75%, Narinj Bagh – over 69%, Alikhail, 67%, Jalalabad city, over 54%)</w:t>
      </w:r>
      <w:r w:rsidR="00FA56E3">
        <w:rPr>
          <w:rFonts w:ascii="Franklin Gothic Book" w:hAnsi="Franklin Gothic Book"/>
          <w:sz w:val="20"/>
          <w:szCs w:val="20"/>
        </w:rPr>
        <w:t xml:space="preserve">, yet </w:t>
      </w:r>
      <w:r w:rsidR="00B17D46">
        <w:rPr>
          <w:rFonts w:ascii="Franklin Gothic Book" w:hAnsi="Franklin Gothic Book"/>
          <w:sz w:val="20"/>
          <w:szCs w:val="20"/>
        </w:rPr>
        <w:t>IDP households</w:t>
      </w:r>
      <w:r w:rsidR="008770E6">
        <w:rPr>
          <w:rFonts w:ascii="Franklin Gothic Book" w:hAnsi="Franklin Gothic Book"/>
          <w:sz w:val="20"/>
          <w:szCs w:val="20"/>
        </w:rPr>
        <w:t xml:space="preserve"> are significantly less likely </w:t>
      </w:r>
      <w:r w:rsidR="00B17D46">
        <w:rPr>
          <w:rFonts w:ascii="Franklin Gothic Book" w:hAnsi="Franklin Gothic Book"/>
          <w:sz w:val="20"/>
          <w:szCs w:val="20"/>
        </w:rPr>
        <w:t>t</w:t>
      </w:r>
      <w:r w:rsidR="008770E6">
        <w:rPr>
          <w:rFonts w:ascii="Franklin Gothic Book" w:hAnsi="Franklin Gothic Book"/>
          <w:sz w:val="20"/>
          <w:szCs w:val="20"/>
        </w:rPr>
        <w:t>o</w:t>
      </w:r>
      <w:r w:rsidR="00B17D46">
        <w:rPr>
          <w:rFonts w:ascii="Franklin Gothic Book" w:hAnsi="Franklin Gothic Book"/>
          <w:sz w:val="20"/>
          <w:szCs w:val="20"/>
        </w:rPr>
        <w:t xml:space="preserve"> po</w:t>
      </w:r>
      <w:r w:rsidR="00720F8A">
        <w:rPr>
          <w:rFonts w:ascii="Franklin Gothic Book" w:hAnsi="Franklin Gothic Book"/>
          <w:sz w:val="20"/>
          <w:szCs w:val="20"/>
        </w:rPr>
        <w:t>ssess a written rental contract</w:t>
      </w:r>
      <w:r w:rsidR="00FA56E3">
        <w:rPr>
          <w:rFonts w:ascii="Franklin Gothic Book" w:hAnsi="Franklin Gothic Book"/>
          <w:sz w:val="20"/>
          <w:szCs w:val="20"/>
        </w:rPr>
        <w:t xml:space="preserve"> (21.8% of IDP household hold a written agreement, com[pared to 42.2% of host households) </w:t>
      </w:r>
      <w:r w:rsidR="00B17D46">
        <w:rPr>
          <w:rFonts w:ascii="Franklin Gothic Book" w:hAnsi="Franklin Gothic Book"/>
          <w:sz w:val="20"/>
          <w:szCs w:val="20"/>
        </w:rPr>
        <w:t>while at the same time, in Surkhrod displaced households more often have a written agreement, compared to host households.</w:t>
      </w:r>
      <w:r w:rsidR="00720F8A" w:rsidRPr="00720F8A">
        <w:rPr>
          <w:rFonts w:ascii="Franklin Gothic Book" w:hAnsi="Franklin Gothic Book"/>
          <w:sz w:val="20"/>
          <w:szCs w:val="20"/>
        </w:rPr>
        <w:t xml:space="preserve"> </w:t>
      </w:r>
      <w:r w:rsidR="00720F8A">
        <w:rPr>
          <w:rFonts w:ascii="Franklin Gothic Book" w:hAnsi="Franklin Gothic Book"/>
          <w:sz w:val="20"/>
          <w:szCs w:val="20"/>
        </w:rPr>
        <w:t>I</w:t>
      </w:r>
      <w:r w:rsidR="00720F8A" w:rsidRPr="00115A3E">
        <w:rPr>
          <w:rFonts w:ascii="Franklin Gothic Book" w:hAnsi="Franklin Gothic Book"/>
          <w:sz w:val="20"/>
          <w:szCs w:val="20"/>
        </w:rPr>
        <w:t>n other settlements written agreements are unheard of (in Miagan in Behsud district, Hisarshahi in Rodat district, Bar Shegi in Kunar province none of the repondents had a written agreement, in Chahrani Marastoon in Jalalabad district – only 5</w:t>
      </w:r>
      <w:r w:rsidR="00720F8A">
        <w:rPr>
          <w:rFonts w:ascii="Franklin Gothic Book" w:hAnsi="Franklin Gothic Book"/>
          <w:sz w:val="20"/>
          <w:szCs w:val="20"/>
        </w:rPr>
        <w:t xml:space="preserve">% of contract are in writing).  </w:t>
      </w:r>
    </w:p>
    <w:p w14:paraId="671C7A70" w14:textId="44777F3D" w:rsidR="007F5D5A" w:rsidRDefault="007F5D5A" w:rsidP="00317E23">
      <w:pPr>
        <w:pStyle w:val="NoSpacing"/>
        <w:rPr>
          <w:rFonts w:ascii="Franklin Gothic Book" w:hAnsi="Franklin Gothic Book"/>
          <w:sz w:val="20"/>
          <w:szCs w:val="20"/>
        </w:rPr>
      </w:pPr>
    </w:p>
    <w:p w14:paraId="22549BD6" w14:textId="4AF8D8BD" w:rsidR="00AA56DB" w:rsidRPr="0055769E" w:rsidRDefault="006F29A8" w:rsidP="00046E93">
      <w:pPr>
        <w:pStyle w:val="NoSpacing"/>
        <w:rPr>
          <w:rFonts w:ascii="Franklin Gothic Book" w:hAnsi="Franklin Gothic Book"/>
          <w:sz w:val="20"/>
          <w:szCs w:val="20"/>
        </w:rPr>
      </w:pPr>
      <w:r w:rsidRPr="00115A3E">
        <w:rPr>
          <w:rFonts w:ascii="Franklin Gothic Book" w:hAnsi="Franklin Gothic Book"/>
          <w:sz w:val="20"/>
          <w:szCs w:val="20"/>
        </w:rPr>
        <w:t xml:space="preserve">It could be argued that written agreements are more common in more developed </w:t>
      </w:r>
      <w:r w:rsidR="00FA56E3">
        <w:rPr>
          <w:rFonts w:ascii="Franklin Gothic Book" w:hAnsi="Franklin Gothic Book"/>
          <w:sz w:val="20"/>
          <w:szCs w:val="20"/>
        </w:rPr>
        <w:t xml:space="preserve">and upscale </w:t>
      </w:r>
      <w:r w:rsidRPr="00115A3E">
        <w:rPr>
          <w:rFonts w:ascii="Franklin Gothic Book" w:hAnsi="Franklin Gothic Book"/>
          <w:sz w:val="20"/>
          <w:szCs w:val="20"/>
        </w:rPr>
        <w:t>local housing markets, where renting is more common and where</w:t>
      </w:r>
      <w:r w:rsidR="00B17D46">
        <w:rPr>
          <w:rFonts w:ascii="Franklin Gothic Book" w:hAnsi="Franklin Gothic Book"/>
          <w:sz w:val="20"/>
          <w:szCs w:val="20"/>
        </w:rPr>
        <w:t xml:space="preserve"> intermediaries, such as property brokers, </w:t>
      </w:r>
      <w:r w:rsidR="00FA56E3">
        <w:rPr>
          <w:rFonts w:ascii="Franklin Gothic Book" w:hAnsi="Franklin Gothic Book"/>
          <w:sz w:val="20"/>
          <w:szCs w:val="20"/>
        </w:rPr>
        <w:t xml:space="preserve">are </w:t>
      </w:r>
      <w:r w:rsidR="00B17D46">
        <w:rPr>
          <w:rFonts w:ascii="Franklin Gothic Book" w:hAnsi="Franklin Gothic Book"/>
          <w:sz w:val="20"/>
          <w:szCs w:val="20"/>
        </w:rPr>
        <w:t>more prevalent</w:t>
      </w:r>
      <w:r w:rsidR="0055769E">
        <w:rPr>
          <w:rFonts w:ascii="Franklin Gothic Book" w:hAnsi="Franklin Gothic Book"/>
          <w:sz w:val="20"/>
          <w:szCs w:val="20"/>
        </w:rPr>
        <w:t>.</w:t>
      </w:r>
      <w:r w:rsidR="00B17D46">
        <w:rPr>
          <w:rFonts w:ascii="Franklin Gothic Book" w:hAnsi="Franklin Gothic Book"/>
          <w:sz w:val="20"/>
          <w:szCs w:val="20"/>
        </w:rPr>
        <w:t xml:space="preserve"> </w:t>
      </w:r>
      <w:r w:rsidRPr="00115A3E">
        <w:rPr>
          <w:rFonts w:ascii="Franklin Gothic Book" w:hAnsi="Franklin Gothic Book"/>
          <w:sz w:val="20"/>
          <w:szCs w:val="20"/>
        </w:rPr>
        <w:t xml:space="preserve">According to </w:t>
      </w:r>
      <w:r w:rsidR="00317E23" w:rsidRPr="00115A3E">
        <w:rPr>
          <w:rFonts w:ascii="Franklin Gothic Book" w:hAnsi="Franklin Gothic Book"/>
          <w:sz w:val="20"/>
          <w:szCs w:val="20"/>
        </w:rPr>
        <w:t xml:space="preserve">the survey of key informants, landlords and brokers in the Jalalabad area, </w:t>
      </w:r>
      <w:r w:rsidRPr="00115A3E">
        <w:rPr>
          <w:rFonts w:ascii="Franklin Gothic Book" w:hAnsi="Franklin Gothic Book"/>
          <w:sz w:val="20"/>
          <w:szCs w:val="20"/>
        </w:rPr>
        <w:t>indicate that most of</w:t>
      </w:r>
      <w:r w:rsidR="00317E23" w:rsidRPr="00115A3E">
        <w:rPr>
          <w:rFonts w:ascii="Franklin Gothic Book" w:hAnsi="Franklin Gothic Book"/>
          <w:sz w:val="20"/>
          <w:szCs w:val="20"/>
        </w:rPr>
        <w:t xml:space="preserve"> them (73%) use written agreements, and 57% produced the contract template they used.</w:t>
      </w:r>
      <w:r w:rsidR="0055769E">
        <w:rPr>
          <w:rFonts w:ascii="Franklin Gothic Book" w:hAnsi="Franklin Gothic Book"/>
          <w:sz w:val="20"/>
          <w:szCs w:val="20"/>
        </w:rPr>
        <w:t xml:space="preserve"> </w:t>
      </w:r>
    </w:p>
    <w:p w14:paraId="7E4A1CC1" w14:textId="5A590529" w:rsidR="00F50A1F" w:rsidRDefault="00F50A1F" w:rsidP="00F50A1F">
      <w:pPr>
        <w:pStyle w:val="NoSpacing"/>
      </w:pPr>
    </w:p>
    <w:p w14:paraId="2427D701" w14:textId="58F9FEC3" w:rsidR="009D0F2C" w:rsidRDefault="009D0F2C" w:rsidP="00F50A1F">
      <w:pPr>
        <w:pStyle w:val="NoSpacing"/>
      </w:pPr>
    </w:p>
    <w:p w14:paraId="09AF59D8" w14:textId="38C5DEAE" w:rsidR="009D0F2C" w:rsidRDefault="009D0F2C" w:rsidP="00F50A1F">
      <w:pPr>
        <w:pStyle w:val="NoSpacing"/>
      </w:pPr>
    </w:p>
    <w:p w14:paraId="19FC8A49" w14:textId="2939044A" w:rsidR="009D0F2C" w:rsidRDefault="009D0F2C" w:rsidP="00F50A1F">
      <w:pPr>
        <w:pStyle w:val="NoSpacing"/>
      </w:pPr>
    </w:p>
    <w:p w14:paraId="0B66572A" w14:textId="77777777" w:rsidR="009D0F2C" w:rsidRDefault="009D0F2C" w:rsidP="00F50A1F">
      <w:pPr>
        <w:pStyle w:val="NoSpacing"/>
      </w:pPr>
    </w:p>
    <w:p w14:paraId="33D6DEBD" w14:textId="5D8A6661" w:rsidR="00173699" w:rsidRDefault="005C16B8" w:rsidP="00F50A1F">
      <w:pPr>
        <w:pStyle w:val="NoSpacing"/>
      </w:pPr>
      <w:r>
        <w:rPr>
          <w:noProof/>
        </w:rPr>
        <w:drawing>
          <wp:inline distT="0" distB="0" distL="0" distR="0" wp14:anchorId="21866E88" wp14:editId="44B1ED92">
            <wp:extent cx="6492240" cy="3086100"/>
            <wp:effectExtent l="0" t="0" r="3810" b="0"/>
            <wp:docPr id="3" name="Chart 3">
              <a:extLst xmlns:a="http://schemas.openxmlformats.org/drawingml/2006/main">
                <a:ext uri="{FF2B5EF4-FFF2-40B4-BE49-F238E27FC236}">
                  <a16:creationId xmlns:a16="http://schemas.microsoft.com/office/drawing/2014/main" id="{129E1011-F720-486F-B68D-942BD3704F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EFD578A" w14:textId="4859DFD7" w:rsidR="00173699" w:rsidRDefault="00173699" w:rsidP="00173699">
      <w:pPr>
        <w:pStyle w:val="Caption"/>
      </w:pPr>
      <w:bookmarkStart w:id="31" w:name="_Ref522276573"/>
      <w:r>
        <w:t xml:space="preserve">Figure </w:t>
      </w:r>
      <w:r w:rsidR="00A47312">
        <w:rPr>
          <w:noProof/>
        </w:rPr>
        <w:fldChar w:fldCharType="begin"/>
      </w:r>
      <w:r w:rsidR="00A47312">
        <w:rPr>
          <w:noProof/>
        </w:rPr>
        <w:instrText xml:space="preserve"> SEQ Figure \* ARABIC </w:instrText>
      </w:r>
      <w:r w:rsidR="00A47312">
        <w:rPr>
          <w:noProof/>
        </w:rPr>
        <w:fldChar w:fldCharType="separate"/>
      </w:r>
      <w:r w:rsidR="001B0803">
        <w:rPr>
          <w:noProof/>
        </w:rPr>
        <w:t>3</w:t>
      </w:r>
      <w:r w:rsidR="00A47312">
        <w:rPr>
          <w:noProof/>
        </w:rPr>
        <w:fldChar w:fldCharType="end"/>
      </w:r>
      <w:bookmarkEnd w:id="31"/>
      <w:r>
        <w:t xml:space="preserve"> Security of tenure: different types of households, different markets</w:t>
      </w:r>
    </w:p>
    <w:p w14:paraId="3AED0FDA" w14:textId="77777777" w:rsidR="009D0F2C" w:rsidRPr="009D0F2C" w:rsidRDefault="009D0F2C" w:rsidP="009D0F2C"/>
    <w:p w14:paraId="47314396" w14:textId="77777777" w:rsidR="00271271" w:rsidRPr="00271271" w:rsidRDefault="00271271" w:rsidP="00271271">
      <w:pPr>
        <w:pStyle w:val="NoSpacing"/>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rFonts w:ascii="Franklin Gothic Book" w:hAnsi="Franklin Gothic Book"/>
          <w:sz w:val="10"/>
          <w:szCs w:val="20"/>
        </w:rPr>
      </w:pPr>
    </w:p>
    <w:p w14:paraId="7345B1B3" w14:textId="4C89C23E" w:rsidR="0055769E" w:rsidRPr="00115A3E" w:rsidRDefault="0055769E" w:rsidP="00271271">
      <w:pPr>
        <w:pStyle w:val="NoSpacing"/>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rFonts w:ascii="Franklin Gothic Book" w:hAnsi="Franklin Gothic Book"/>
          <w:sz w:val="20"/>
          <w:szCs w:val="20"/>
        </w:rPr>
      </w:pPr>
      <w:r>
        <w:rPr>
          <w:rFonts w:ascii="Franklin Gothic Book" w:hAnsi="Franklin Gothic Book"/>
          <w:sz w:val="20"/>
          <w:szCs w:val="20"/>
        </w:rPr>
        <w:t>The survey showed</w:t>
      </w:r>
      <w:r w:rsidRPr="00115A3E">
        <w:rPr>
          <w:rFonts w:ascii="Franklin Gothic Book" w:hAnsi="Franklin Gothic Book"/>
          <w:sz w:val="20"/>
          <w:szCs w:val="20"/>
        </w:rPr>
        <w:t xml:space="preserve"> the type of agreement (written vs. oral) has no bearing on the satisfaction with current housing or </w:t>
      </w:r>
      <w:r>
        <w:rPr>
          <w:rFonts w:ascii="Franklin Gothic Book" w:hAnsi="Franklin Gothic Book"/>
          <w:sz w:val="20"/>
          <w:szCs w:val="20"/>
        </w:rPr>
        <w:t xml:space="preserve">on the </w:t>
      </w:r>
      <w:r w:rsidRPr="00115A3E">
        <w:rPr>
          <w:rFonts w:ascii="Franklin Gothic Book" w:hAnsi="Franklin Gothic Book"/>
          <w:sz w:val="20"/>
          <w:szCs w:val="20"/>
        </w:rPr>
        <w:t>intention to move or st</w:t>
      </w:r>
      <w:r>
        <w:rPr>
          <w:rFonts w:ascii="Franklin Gothic Book" w:hAnsi="Franklin Gothic Book"/>
          <w:sz w:val="20"/>
          <w:szCs w:val="20"/>
        </w:rPr>
        <w:t>ay in the current accommodation.</w:t>
      </w:r>
      <w:r w:rsidRPr="00115A3E">
        <w:rPr>
          <w:rFonts w:ascii="Franklin Gothic Book" w:hAnsi="Franklin Gothic Book"/>
          <w:sz w:val="20"/>
          <w:szCs w:val="20"/>
        </w:rPr>
        <w:t xml:space="preserve"> </w:t>
      </w:r>
      <w:r>
        <w:rPr>
          <w:rFonts w:ascii="Franklin Gothic Book" w:hAnsi="Franklin Gothic Book"/>
          <w:sz w:val="20"/>
          <w:szCs w:val="20"/>
        </w:rPr>
        <w:t>A</w:t>
      </w:r>
      <w:r w:rsidRPr="00115A3E">
        <w:rPr>
          <w:rFonts w:ascii="Franklin Gothic Book" w:hAnsi="Franklin Gothic Book"/>
          <w:sz w:val="20"/>
          <w:szCs w:val="20"/>
        </w:rPr>
        <w:t xml:space="preserve">s long as the rental agreement is concluded to mutual satisfaction, it does not seem to </w:t>
      </w:r>
      <w:r w:rsidR="002A7F41">
        <w:rPr>
          <w:rFonts w:ascii="Franklin Gothic Book" w:hAnsi="Franklin Gothic Book"/>
          <w:sz w:val="20"/>
          <w:szCs w:val="20"/>
        </w:rPr>
        <w:t xml:space="preserve">matter whether it is in writing or not, in the perception of the </w:t>
      </w:r>
      <w:r w:rsidRPr="00115A3E">
        <w:rPr>
          <w:rFonts w:ascii="Franklin Gothic Book" w:hAnsi="Franklin Gothic Book"/>
          <w:sz w:val="20"/>
          <w:szCs w:val="20"/>
        </w:rPr>
        <w:t>tenants.</w:t>
      </w:r>
    </w:p>
    <w:p w14:paraId="716756A9" w14:textId="77777777" w:rsidR="0055769E" w:rsidRDefault="0055769E" w:rsidP="00271271">
      <w:pPr>
        <w:pStyle w:val="NoSpacing"/>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rFonts w:ascii="Franklin Gothic Book" w:hAnsi="Franklin Gothic Book"/>
          <w:sz w:val="20"/>
          <w:szCs w:val="20"/>
        </w:rPr>
      </w:pPr>
    </w:p>
    <w:p w14:paraId="57BD68EB" w14:textId="5FC3C682" w:rsidR="00720F8A" w:rsidRDefault="00720F8A" w:rsidP="00271271">
      <w:pPr>
        <w:pStyle w:val="NoSpacing"/>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rFonts w:ascii="Franklin Gothic Book" w:hAnsi="Franklin Gothic Book"/>
          <w:sz w:val="20"/>
          <w:szCs w:val="20"/>
        </w:rPr>
      </w:pPr>
      <w:r w:rsidRPr="00115A3E">
        <w:rPr>
          <w:rFonts w:ascii="Franklin Gothic Book" w:hAnsi="Franklin Gothic Book"/>
          <w:sz w:val="20"/>
          <w:szCs w:val="20"/>
        </w:rPr>
        <w:t xml:space="preserve">When contracts are </w:t>
      </w:r>
      <w:r>
        <w:rPr>
          <w:rFonts w:ascii="Franklin Gothic Book" w:hAnsi="Franklin Gothic Book"/>
          <w:sz w:val="20"/>
          <w:szCs w:val="20"/>
        </w:rPr>
        <w:t>formalized</w:t>
      </w:r>
      <w:r w:rsidRPr="00115A3E">
        <w:rPr>
          <w:rFonts w:ascii="Franklin Gothic Book" w:hAnsi="Franklin Gothic Book"/>
          <w:sz w:val="20"/>
          <w:szCs w:val="20"/>
        </w:rPr>
        <w:t xml:space="preserve"> in writing, the likelihood of rent increase</w:t>
      </w:r>
      <w:r>
        <w:rPr>
          <w:rFonts w:ascii="Franklin Gothic Book" w:hAnsi="Franklin Gothic Book"/>
          <w:sz w:val="20"/>
          <w:szCs w:val="20"/>
        </w:rPr>
        <w:t xml:space="preserve"> actually</w:t>
      </w:r>
      <w:r w:rsidRPr="00115A3E">
        <w:rPr>
          <w:rFonts w:ascii="Franklin Gothic Book" w:hAnsi="Franklin Gothic Book"/>
          <w:sz w:val="20"/>
          <w:szCs w:val="20"/>
        </w:rPr>
        <w:t xml:space="preserve"> grows almost twofold: households with a written agreement with the same length of stay experienced price increase almost twice more often, compared to the households with oral/informal contracts. This may be due to written agreements</w:t>
      </w:r>
      <w:r w:rsidR="002A7F41" w:rsidRPr="00115A3E">
        <w:rPr>
          <w:rFonts w:ascii="Franklin Gothic Book" w:hAnsi="Franklin Gothic Book"/>
          <w:sz w:val="20"/>
          <w:szCs w:val="20"/>
        </w:rPr>
        <w:t xml:space="preserve"> </w:t>
      </w:r>
      <w:r w:rsidR="002A7F41">
        <w:rPr>
          <w:rFonts w:ascii="Franklin Gothic Book" w:hAnsi="Franklin Gothic Book"/>
          <w:sz w:val="20"/>
          <w:szCs w:val="20"/>
        </w:rPr>
        <w:t xml:space="preserve">being </w:t>
      </w:r>
      <w:r w:rsidRPr="00115A3E">
        <w:rPr>
          <w:rFonts w:ascii="Franklin Gothic Book" w:hAnsi="Franklin Gothic Book"/>
          <w:sz w:val="20"/>
          <w:szCs w:val="20"/>
        </w:rPr>
        <w:t>more common</w:t>
      </w:r>
      <w:r w:rsidR="002A7F41">
        <w:rPr>
          <w:rFonts w:ascii="Franklin Gothic Book" w:hAnsi="Franklin Gothic Book"/>
          <w:sz w:val="20"/>
          <w:szCs w:val="20"/>
        </w:rPr>
        <w:t xml:space="preserve"> for more expensive housing in dynamic </w:t>
      </w:r>
      <w:r w:rsidRPr="00115A3E">
        <w:rPr>
          <w:rFonts w:ascii="Franklin Gothic Book" w:hAnsi="Franklin Gothic Book"/>
          <w:sz w:val="20"/>
          <w:szCs w:val="20"/>
        </w:rPr>
        <w:t>urban and suburban areas, where prices</w:t>
      </w:r>
      <w:r w:rsidR="0055769E">
        <w:rPr>
          <w:rFonts w:ascii="Franklin Gothic Book" w:hAnsi="Franklin Gothic Book"/>
          <w:sz w:val="20"/>
          <w:szCs w:val="20"/>
        </w:rPr>
        <w:t xml:space="preserve"> grow faster.</w:t>
      </w:r>
    </w:p>
    <w:p w14:paraId="019703D6" w14:textId="45224163" w:rsidR="00271271" w:rsidRDefault="00271271" w:rsidP="00271271">
      <w:pPr>
        <w:pStyle w:val="NoSpacing"/>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rFonts w:ascii="Franklin Gothic Book" w:hAnsi="Franklin Gothic Book"/>
          <w:sz w:val="20"/>
          <w:szCs w:val="20"/>
        </w:rPr>
      </w:pPr>
    </w:p>
    <w:p w14:paraId="13FC44FB" w14:textId="38BD98EA" w:rsidR="00271271" w:rsidRDefault="00E32E16" w:rsidP="00271271">
      <w:pPr>
        <w:pStyle w:val="NoSpacing"/>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rFonts w:ascii="Franklin Gothic Book" w:hAnsi="Franklin Gothic Book"/>
          <w:sz w:val="20"/>
          <w:szCs w:val="20"/>
        </w:rPr>
      </w:pPr>
      <w:r>
        <w:rPr>
          <w:rFonts w:ascii="Franklin Gothic Book" w:hAnsi="Franklin Gothic Book"/>
          <w:sz w:val="20"/>
          <w:szCs w:val="20"/>
        </w:rPr>
        <w:t>In order to</w:t>
      </w:r>
      <w:r w:rsidR="002A7F41">
        <w:rPr>
          <w:rFonts w:ascii="Franklin Gothic Book" w:hAnsi="Franklin Gothic Book"/>
          <w:sz w:val="20"/>
          <w:szCs w:val="20"/>
        </w:rPr>
        <w:t xml:space="preserve"> D</w:t>
      </w:r>
      <w:r>
        <w:rPr>
          <w:rFonts w:ascii="Franklin Gothic Book" w:hAnsi="Franklin Gothic Book"/>
          <w:sz w:val="20"/>
          <w:szCs w:val="20"/>
        </w:rPr>
        <w:t xml:space="preserve">o no Harm, for CfR programming, these </w:t>
      </w:r>
      <w:r w:rsidR="002A7F41">
        <w:rPr>
          <w:rFonts w:ascii="Franklin Gothic Book" w:hAnsi="Franklin Gothic Book"/>
          <w:sz w:val="20"/>
          <w:szCs w:val="20"/>
        </w:rPr>
        <w:t xml:space="preserve">findings </w:t>
      </w:r>
      <w:r>
        <w:rPr>
          <w:rFonts w:ascii="Franklin Gothic Book" w:hAnsi="Franklin Gothic Book"/>
          <w:sz w:val="20"/>
          <w:szCs w:val="20"/>
        </w:rPr>
        <w:t xml:space="preserve">should be taken into account before imposing the mandatory signing of a written rental agreements. For some markets (locations), a written agreement might indeed produce the expected result, whilst in other communities, these might have a negative impact for beneficiary families and the overall market in the long term. </w:t>
      </w:r>
    </w:p>
    <w:p w14:paraId="207FA267" w14:textId="77777777" w:rsidR="00271271" w:rsidRPr="00271271" w:rsidRDefault="00271271" w:rsidP="00271271">
      <w:pPr>
        <w:pStyle w:val="NoSpacing"/>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rFonts w:ascii="Franklin Gothic Book" w:hAnsi="Franklin Gothic Book"/>
          <w:sz w:val="10"/>
          <w:szCs w:val="20"/>
        </w:rPr>
      </w:pPr>
    </w:p>
    <w:p w14:paraId="42521A0D" w14:textId="4A03BD9C" w:rsidR="00E32E16" w:rsidRPr="009D0F2C" w:rsidRDefault="00E32E16" w:rsidP="00046E93">
      <w:pPr>
        <w:pStyle w:val="NoSpacing"/>
        <w:rPr>
          <w:rFonts w:ascii="Franklin Gothic Book" w:hAnsi="Franklin Gothic Book"/>
          <w:sz w:val="10"/>
        </w:rPr>
      </w:pPr>
    </w:p>
    <w:p w14:paraId="0C8DD37B" w14:textId="77777777" w:rsidR="009D0F2C" w:rsidRDefault="009D0F2C" w:rsidP="00046E93">
      <w:pPr>
        <w:pStyle w:val="NoSpacing"/>
        <w:rPr>
          <w:rFonts w:ascii="Franklin Gothic Book" w:hAnsi="Franklin Gothic Book"/>
          <w:sz w:val="20"/>
        </w:rPr>
      </w:pPr>
    </w:p>
    <w:p w14:paraId="6E867738" w14:textId="3238A662" w:rsidR="00E14141" w:rsidRDefault="006D4A29" w:rsidP="002F50DB">
      <w:pPr>
        <w:pStyle w:val="NoSpacing"/>
        <w:rPr>
          <w:rFonts w:ascii="Franklin Gothic Book" w:hAnsi="Franklin Gothic Book"/>
          <w:sz w:val="20"/>
        </w:rPr>
      </w:pPr>
      <w:r w:rsidRPr="007F5D5A">
        <w:rPr>
          <w:rFonts w:ascii="Franklin Gothic Book" w:hAnsi="Franklin Gothic Book"/>
          <w:sz w:val="20"/>
        </w:rPr>
        <w:t>The requirem</w:t>
      </w:r>
      <w:r w:rsidR="00B92F62" w:rsidRPr="007F5D5A">
        <w:rPr>
          <w:rFonts w:ascii="Franklin Gothic Book" w:hAnsi="Franklin Gothic Book"/>
          <w:sz w:val="20"/>
        </w:rPr>
        <w:t>ent</w:t>
      </w:r>
      <w:r w:rsidRPr="007F5D5A">
        <w:rPr>
          <w:rFonts w:ascii="Franklin Gothic Book" w:hAnsi="Franklin Gothic Book"/>
          <w:sz w:val="20"/>
        </w:rPr>
        <w:t xml:space="preserve"> to produce documents </w:t>
      </w:r>
      <w:r w:rsidR="00E14141">
        <w:rPr>
          <w:rFonts w:ascii="Franklin Gothic Book" w:hAnsi="Franklin Gothic Book"/>
          <w:sz w:val="20"/>
        </w:rPr>
        <w:t>(</w:t>
      </w:r>
      <w:r w:rsidR="00E14141" w:rsidRPr="007F5D5A">
        <w:rPr>
          <w:rFonts w:ascii="Franklin Gothic Book" w:hAnsi="Franklin Gothic Book"/>
          <w:sz w:val="20"/>
        </w:rPr>
        <w:t>aimed at protecting the landlords</w:t>
      </w:r>
      <w:r w:rsidR="00E14141">
        <w:rPr>
          <w:rFonts w:ascii="Franklin Gothic Book" w:hAnsi="Franklin Gothic Book"/>
          <w:sz w:val="20"/>
        </w:rPr>
        <w:t xml:space="preserve">) </w:t>
      </w:r>
      <w:r w:rsidR="002A7F41">
        <w:rPr>
          <w:rFonts w:ascii="Franklin Gothic Book" w:hAnsi="Franklin Gothic Book"/>
          <w:sz w:val="20"/>
        </w:rPr>
        <w:t>v</w:t>
      </w:r>
      <w:r w:rsidRPr="007F5D5A">
        <w:rPr>
          <w:rFonts w:ascii="Franklin Gothic Book" w:hAnsi="Franklin Gothic Book"/>
          <w:sz w:val="20"/>
        </w:rPr>
        <w:t>ari</w:t>
      </w:r>
      <w:r w:rsidR="00680945">
        <w:rPr>
          <w:rFonts w:ascii="Franklin Gothic Book" w:hAnsi="Franklin Gothic Book"/>
          <w:sz w:val="20"/>
        </w:rPr>
        <w:t>es significantly among markets. I</w:t>
      </w:r>
      <w:r w:rsidR="00526452" w:rsidRPr="007F5D5A">
        <w:rPr>
          <w:rFonts w:ascii="Franklin Gothic Book" w:hAnsi="Franklin Gothic Book"/>
          <w:sz w:val="20"/>
        </w:rPr>
        <w:t>n the Jalalabad urban area and in Kabul camp area almost half of l</w:t>
      </w:r>
      <w:r w:rsidR="00060B0E" w:rsidRPr="007F5D5A">
        <w:rPr>
          <w:rFonts w:ascii="Franklin Gothic Book" w:hAnsi="Franklin Gothic Book"/>
          <w:sz w:val="20"/>
        </w:rPr>
        <w:t>an</w:t>
      </w:r>
      <w:r w:rsidR="00526452" w:rsidRPr="007F5D5A">
        <w:rPr>
          <w:rFonts w:ascii="Franklin Gothic Book" w:hAnsi="Franklin Gothic Book"/>
          <w:sz w:val="20"/>
        </w:rPr>
        <w:t xml:space="preserve">dlords required </w:t>
      </w:r>
      <w:r w:rsidR="002A7F41">
        <w:rPr>
          <w:rFonts w:ascii="Franklin Gothic Book" w:hAnsi="Franklin Gothic Book"/>
          <w:sz w:val="20"/>
        </w:rPr>
        <w:t xml:space="preserve">tenants </w:t>
      </w:r>
      <w:r w:rsidR="00526452" w:rsidRPr="007F5D5A">
        <w:rPr>
          <w:rFonts w:ascii="Franklin Gothic Book" w:hAnsi="Franklin Gothic Book"/>
          <w:sz w:val="20"/>
        </w:rPr>
        <w:t>to produce a document, while in other ma</w:t>
      </w:r>
      <w:r w:rsidR="00060B0E" w:rsidRPr="007F5D5A">
        <w:rPr>
          <w:rFonts w:ascii="Franklin Gothic Book" w:hAnsi="Franklin Gothic Book"/>
          <w:sz w:val="20"/>
        </w:rPr>
        <w:t>r</w:t>
      </w:r>
      <w:r w:rsidR="00526452" w:rsidRPr="007F5D5A">
        <w:rPr>
          <w:rFonts w:ascii="Franklin Gothic Book" w:hAnsi="Franklin Gothic Book"/>
          <w:sz w:val="20"/>
        </w:rPr>
        <w:t>kets the requirements are less common.</w:t>
      </w:r>
      <w:r w:rsidR="00B92F62" w:rsidRPr="007F5D5A">
        <w:rPr>
          <w:rFonts w:ascii="Franklin Gothic Book" w:hAnsi="Franklin Gothic Book"/>
          <w:sz w:val="20"/>
        </w:rPr>
        <w:t xml:space="preserve"> In some </w:t>
      </w:r>
      <w:r w:rsidR="00890996">
        <w:rPr>
          <w:rFonts w:ascii="Franklin Gothic Book" w:hAnsi="Franklin Gothic Book"/>
          <w:sz w:val="20"/>
        </w:rPr>
        <w:t xml:space="preserve">particular </w:t>
      </w:r>
      <w:r w:rsidR="00B92F62" w:rsidRPr="007F5D5A">
        <w:rPr>
          <w:rFonts w:ascii="Franklin Gothic Book" w:hAnsi="Franklin Gothic Book"/>
          <w:sz w:val="20"/>
        </w:rPr>
        <w:t xml:space="preserve">settlements the majority of respondent reported that they had to present a document (100% in Alikahl, 90% in Momin Abad in Jalalabad district, 69% in Chak noori and 67% in Ghochak in Surkhrod, but only 14% in Harchar in Mehtarlam and 0% in Belandghar in Behsud). </w:t>
      </w:r>
    </w:p>
    <w:p w14:paraId="4253CB14" w14:textId="77777777" w:rsidR="00890996" w:rsidRDefault="00890996" w:rsidP="002F50DB">
      <w:pPr>
        <w:pStyle w:val="NoSpacing"/>
        <w:rPr>
          <w:rFonts w:ascii="Franklin Gothic Book" w:hAnsi="Franklin Gothic Book"/>
          <w:sz w:val="20"/>
        </w:rPr>
      </w:pPr>
    </w:p>
    <w:p w14:paraId="5674E28F" w14:textId="796A7422" w:rsidR="002F50DB" w:rsidRPr="007F5D5A" w:rsidRDefault="00B92F62" w:rsidP="002F50DB">
      <w:pPr>
        <w:pStyle w:val="NoSpacing"/>
        <w:rPr>
          <w:rFonts w:ascii="Franklin Gothic Book" w:hAnsi="Franklin Gothic Book"/>
          <w:sz w:val="20"/>
        </w:rPr>
      </w:pPr>
      <w:r w:rsidRPr="007F5D5A">
        <w:rPr>
          <w:rFonts w:ascii="Franklin Gothic Book" w:hAnsi="Franklin Gothic Book"/>
          <w:sz w:val="20"/>
        </w:rPr>
        <w:t xml:space="preserve">As </w:t>
      </w:r>
      <w:r w:rsidR="0020534B" w:rsidRPr="007F5D5A">
        <w:rPr>
          <w:rFonts w:ascii="Franklin Gothic Book" w:hAnsi="Franklin Gothic Book"/>
          <w:sz w:val="20"/>
        </w:rPr>
        <w:t xml:space="preserve">is the case with </w:t>
      </w:r>
      <w:r w:rsidRPr="007F5D5A">
        <w:rPr>
          <w:rFonts w:ascii="Franklin Gothic Book" w:hAnsi="Franklin Gothic Book"/>
          <w:sz w:val="20"/>
        </w:rPr>
        <w:t>written</w:t>
      </w:r>
      <w:r w:rsidR="0020534B" w:rsidRPr="007F5D5A">
        <w:rPr>
          <w:rFonts w:ascii="Franklin Gothic Book" w:hAnsi="Franklin Gothic Book"/>
          <w:sz w:val="20"/>
        </w:rPr>
        <w:t xml:space="preserve"> vs</w:t>
      </w:r>
      <w:r w:rsidR="009B7817">
        <w:rPr>
          <w:rFonts w:ascii="Franklin Gothic Book" w:hAnsi="Franklin Gothic Book"/>
          <w:sz w:val="20"/>
        </w:rPr>
        <w:t>.</w:t>
      </w:r>
      <w:r w:rsidR="0020534B" w:rsidRPr="007F5D5A">
        <w:rPr>
          <w:rFonts w:ascii="Franklin Gothic Book" w:hAnsi="Franklin Gothic Book"/>
          <w:sz w:val="20"/>
        </w:rPr>
        <w:t xml:space="preserve"> oral</w:t>
      </w:r>
      <w:r w:rsidRPr="007F5D5A">
        <w:rPr>
          <w:rFonts w:ascii="Franklin Gothic Book" w:hAnsi="Franklin Gothic Book"/>
          <w:sz w:val="20"/>
        </w:rPr>
        <w:t xml:space="preserve"> agreement</w:t>
      </w:r>
      <w:r w:rsidR="0020534B" w:rsidRPr="007F5D5A">
        <w:rPr>
          <w:rFonts w:ascii="Franklin Gothic Book" w:hAnsi="Franklin Gothic Book"/>
          <w:sz w:val="20"/>
        </w:rPr>
        <w:t>s</w:t>
      </w:r>
      <w:r w:rsidRPr="007F5D5A">
        <w:rPr>
          <w:rFonts w:ascii="Franklin Gothic Book" w:hAnsi="Franklin Gothic Book"/>
          <w:sz w:val="20"/>
        </w:rPr>
        <w:t>, requirement</w:t>
      </w:r>
      <w:r w:rsidR="0020534B" w:rsidRPr="007F5D5A">
        <w:rPr>
          <w:rFonts w:ascii="Franklin Gothic Book" w:hAnsi="Franklin Gothic Book"/>
          <w:sz w:val="20"/>
        </w:rPr>
        <w:t>s</w:t>
      </w:r>
      <w:r w:rsidRPr="007F5D5A">
        <w:rPr>
          <w:rFonts w:ascii="Franklin Gothic Book" w:hAnsi="Franklin Gothic Book"/>
          <w:sz w:val="20"/>
        </w:rPr>
        <w:t xml:space="preserve"> to </w:t>
      </w:r>
      <w:r w:rsidR="0020534B" w:rsidRPr="007F5D5A">
        <w:rPr>
          <w:rFonts w:ascii="Franklin Gothic Book" w:hAnsi="Franklin Gothic Book"/>
          <w:sz w:val="20"/>
        </w:rPr>
        <w:t>produce</w:t>
      </w:r>
      <w:r w:rsidRPr="007F5D5A">
        <w:rPr>
          <w:rFonts w:ascii="Franklin Gothic Book" w:hAnsi="Franklin Gothic Book"/>
          <w:sz w:val="20"/>
        </w:rPr>
        <w:t xml:space="preserve"> documents seem to be a feature of individual markets</w:t>
      </w:r>
      <w:r w:rsidR="002F50DB" w:rsidRPr="007F5D5A">
        <w:rPr>
          <w:rFonts w:ascii="Franklin Gothic Book" w:hAnsi="Franklin Gothic Book"/>
          <w:sz w:val="20"/>
        </w:rPr>
        <w:t>: indirectly, this is confirmed by the fact that no significant difference between displaced and non-displaced households was detected with regards to a requirement to produce a document</w:t>
      </w:r>
      <w:r w:rsidR="009B7817">
        <w:rPr>
          <w:rFonts w:ascii="Franklin Gothic Book" w:hAnsi="Franklin Gothic Book"/>
          <w:sz w:val="20"/>
        </w:rPr>
        <w:t xml:space="preserve"> (within the same local market)</w:t>
      </w:r>
      <w:r w:rsidR="002F50DB" w:rsidRPr="007F5D5A">
        <w:rPr>
          <w:rFonts w:ascii="Franklin Gothic Book" w:hAnsi="Franklin Gothic Book"/>
          <w:sz w:val="20"/>
        </w:rPr>
        <w:t>.</w:t>
      </w:r>
    </w:p>
    <w:p w14:paraId="3F2B7258" w14:textId="4B9BF6A7" w:rsidR="002F50DB" w:rsidRDefault="002F50DB" w:rsidP="002F50DB">
      <w:pPr>
        <w:pStyle w:val="NoSpacing"/>
        <w:rPr>
          <w:rFonts w:ascii="Franklin Gothic Book" w:hAnsi="Franklin Gothic Book"/>
          <w:sz w:val="20"/>
        </w:rPr>
      </w:pPr>
    </w:p>
    <w:p w14:paraId="541CE8D7" w14:textId="7ED9C98C" w:rsidR="00B10F22" w:rsidRDefault="00680945" w:rsidP="00680945">
      <w:pPr>
        <w:pStyle w:val="NoSpacing"/>
        <w:rPr>
          <w:rFonts w:ascii="Franklin Gothic Book" w:hAnsi="Franklin Gothic Book"/>
          <w:sz w:val="20"/>
        </w:rPr>
      </w:pPr>
      <w:r w:rsidRPr="007F5D5A">
        <w:rPr>
          <w:rFonts w:ascii="Franklin Gothic Book" w:hAnsi="Franklin Gothic Book"/>
          <w:sz w:val="20"/>
        </w:rPr>
        <w:t xml:space="preserve">The most common </w:t>
      </w:r>
      <w:r>
        <w:rPr>
          <w:rFonts w:ascii="Franklin Gothic Book" w:hAnsi="Franklin Gothic Book"/>
          <w:sz w:val="20"/>
        </w:rPr>
        <w:t xml:space="preserve">required </w:t>
      </w:r>
      <w:r w:rsidRPr="007F5D5A">
        <w:rPr>
          <w:rFonts w:ascii="Franklin Gothic Book" w:hAnsi="Franklin Gothic Book"/>
          <w:sz w:val="20"/>
        </w:rPr>
        <w:t>documents are</w:t>
      </w:r>
      <w:r>
        <w:rPr>
          <w:rFonts w:ascii="Franklin Gothic Book" w:hAnsi="Franklin Gothic Book"/>
          <w:sz w:val="20"/>
        </w:rPr>
        <w:t xml:space="preserve"> the</w:t>
      </w:r>
      <w:r w:rsidRPr="007F5D5A">
        <w:rPr>
          <w:rFonts w:ascii="Franklin Gothic Book" w:hAnsi="Franklin Gothic Book"/>
          <w:sz w:val="20"/>
        </w:rPr>
        <w:t xml:space="preserve"> </w:t>
      </w:r>
      <w:r>
        <w:rPr>
          <w:rFonts w:ascii="Franklin Gothic Book" w:hAnsi="Franklin Gothic Book"/>
          <w:sz w:val="20"/>
        </w:rPr>
        <w:t>T</w:t>
      </w:r>
      <w:r w:rsidRPr="007F5D5A">
        <w:rPr>
          <w:rFonts w:ascii="Franklin Gothic Book" w:hAnsi="Franklin Gothic Book"/>
          <w:sz w:val="20"/>
        </w:rPr>
        <w:t>a</w:t>
      </w:r>
      <w:r>
        <w:rPr>
          <w:rFonts w:ascii="Franklin Gothic Book" w:hAnsi="Franklin Gothic Book"/>
          <w:sz w:val="20"/>
        </w:rPr>
        <w:t>zke</w:t>
      </w:r>
      <w:r w:rsidRPr="007F5D5A">
        <w:rPr>
          <w:rFonts w:ascii="Franklin Gothic Book" w:hAnsi="Franklin Gothic Book"/>
          <w:sz w:val="20"/>
        </w:rPr>
        <w:t>ra (national id card)</w:t>
      </w:r>
      <w:r w:rsidR="00890996">
        <w:rPr>
          <w:rFonts w:ascii="Franklin Gothic Book" w:hAnsi="Franklin Gothic Book"/>
          <w:sz w:val="20"/>
        </w:rPr>
        <w:t>. It was</w:t>
      </w:r>
      <w:r w:rsidRPr="007F5D5A">
        <w:rPr>
          <w:rFonts w:ascii="Franklin Gothic Book" w:hAnsi="Franklin Gothic Book"/>
          <w:sz w:val="20"/>
        </w:rPr>
        <w:t xml:space="preserve"> </w:t>
      </w:r>
      <w:r>
        <w:rPr>
          <w:rFonts w:ascii="Franklin Gothic Book" w:hAnsi="Franklin Gothic Book"/>
          <w:sz w:val="20"/>
        </w:rPr>
        <w:t xml:space="preserve">requested </w:t>
      </w:r>
      <w:r w:rsidR="00890996">
        <w:rPr>
          <w:rFonts w:ascii="Franklin Gothic Book" w:hAnsi="Franklin Gothic Book"/>
          <w:sz w:val="20"/>
        </w:rPr>
        <w:t xml:space="preserve">from 42% </w:t>
      </w:r>
      <w:r>
        <w:rPr>
          <w:rFonts w:ascii="Franklin Gothic Book" w:hAnsi="Franklin Gothic Book"/>
          <w:sz w:val="20"/>
        </w:rPr>
        <w:t>of the respondents</w:t>
      </w:r>
      <w:r w:rsidR="00890996">
        <w:rPr>
          <w:rFonts w:ascii="Franklin Gothic Book" w:hAnsi="Franklin Gothic Book"/>
          <w:sz w:val="20"/>
        </w:rPr>
        <w:t xml:space="preserve"> (and more than half of them had to produce a l</w:t>
      </w:r>
      <w:r w:rsidRPr="007F5D5A">
        <w:rPr>
          <w:rFonts w:ascii="Franklin Gothic Book" w:hAnsi="Franklin Gothic Book"/>
          <w:sz w:val="20"/>
        </w:rPr>
        <w:t xml:space="preserve">etter of guarantee from </w:t>
      </w:r>
      <w:r w:rsidRPr="0068076D">
        <w:rPr>
          <w:rFonts w:ascii="Franklin Gothic Book" w:hAnsi="Franklin Gothic Book"/>
          <w:sz w:val="20"/>
        </w:rPr>
        <w:t xml:space="preserve">a </w:t>
      </w:r>
      <w:r w:rsidRPr="006B5182">
        <w:rPr>
          <w:rFonts w:ascii="Franklin Gothic Book" w:hAnsi="Franklin Gothic Book"/>
          <w:sz w:val="20"/>
        </w:rPr>
        <w:t>family member/guarantor</w:t>
      </w:r>
      <w:r w:rsidR="00890996">
        <w:rPr>
          <w:rFonts w:ascii="Franklin Gothic Book" w:hAnsi="Franklin Gothic Book"/>
          <w:sz w:val="20"/>
        </w:rPr>
        <w:t xml:space="preserve"> in addition to a Tazkera)</w:t>
      </w:r>
      <w:r w:rsidRPr="005B1455">
        <w:rPr>
          <w:rFonts w:ascii="Franklin Gothic Book" w:hAnsi="Franklin Gothic Book"/>
          <w:sz w:val="20"/>
        </w:rPr>
        <w:t>.</w:t>
      </w:r>
    </w:p>
    <w:p w14:paraId="7F99427F" w14:textId="7F1AF981" w:rsidR="00680945" w:rsidRDefault="00680945" w:rsidP="00680945">
      <w:pPr>
        <w:pStyle w:val="NoSpacing"/>
        <w:rPr>
          <w:rFonts w:ascii="Franklin Gothic Book" w:hAnsi="Franklin Gothic Book"/>
          <w:sz w:val="20"/>
        </w:rPr>
      </w:pPr>
    </w:p>
    <w:p w14:paraId="2ECDE841" w14:textId="6CFFDE44" w:rsidR="009D0F2C" w:rsidRDefault="009D0F2C" w:rsidP="00680945">
      <w:pPr>
        <w:pStyle w:val="NoSpacing"/>
        <w:rPr>
          <w:rFonts w:ascii="Franklin Gothic Book" w:hAnsi="Franklin Gothic Book"/>
          <w:sz w:val="20"/>
        </w:rPr>
      </w:pPr>
    </w:p>
    <w:p w14:paraId="1B9EF8CF" w14:textId="77777777" w:rsidR="00680945" w:rsidRPr="00680945" w:rsidRDefault="00680945" w:rsidP="009D0F2C">
      <w:pPr>
        <w:pStyle w:val="NoSpacing"/>
        <w:rPr>
          <w:rFonts w:ascii="Franklin Gothic Book" w:hAnsi="Franklin Gothic Book"/>
          <w:sz w:val="10"/>
        </w:rPr>
      </w:pPr>
    </w:p>
    <w:p w14:paraId="04A998F7" w14:textId="77777777" w:rsidR="009D0F2C" w:rsidRPr="009D0F2C" w:rsidRDefault="009D0F2C" w:rsidP="00E7725A">
      <w:pPr>
        <w:pStyle w:val="NoSpacing"/>
        <w:rPr>
          <w:rFonts w:ascii="Franklin Gothic Book" w:hAnsi="Franklin Gothic Book"/>
          <w:sz w:val="10"/>
        </w:rPr>
      </w:pPr>
    </w:p>
    <w:p w14:paraId="7A985A31" w14:textId="77777777" w:rsidR="00E7725A" w:rsidRDefault="00E7725A" w:rsidP="00E7725A">
      <w:pPr>
        <w:pStyle w:val="NoSpacing"/>
        <w:rPr>
          <w:rFonts w:ascii="Franklin Gothic Book" w:hAnsi="Franklin Gothic Book"/>
          <w:sz w:val="20"/>
        </w:rPr>
      </w:pPr>
    </w:p>
    <w:p w14:paraId="71C3653C" w14:textId="77777777" w:rsidR="00E7725A" w:rsidRPr="00E7725A" w:rsidRDefault="00E7725A" w:rsidP="00680945">
      <w:pPr>
        <w:pStyle w:val="NoSpacing"/>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rFonts w:ascii="Franklin Gothic Book" w:hAnsi="Franklin Gothic Book"/>
          <w:sz w:val="16"/>
        </w:rPr>
      </w:pPr>
    </w:p>
    <w:p w14:paraId="18F33C44" w14:textId="1CF157D6" w:rsidR="007B7E04" w:rsidRPr="00051068" w:rsidRDefault="00680945" w:rsidP="00680945">
      <w:pPr>
        <w:pStyle w:val="NoSpacing"/>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rFonts w:ascii="Franklin Gothic Book" w:hAnsi="Franklin Gothic Book"/>
          <w:sz w:val="20"/>
          <w:szCs w:val="20"/>
        </w:rPr>
      </w:pPr>
      <w:r>
        <w:rPr>
          <w:rFonts w:ascii="Franklin Gothic Book" w:hAnsi="Franklin Gothic Book"/>
          <w:sz w:val="20"/>
        </w:rPr>
        <w:t>I</w:t>
      </w:r>
      <w:r w:rsidRPr="007F5D5A">
        <w:rPr>
          <w:rFonts w:ascii="Franklin Gothic Book" w:hAnsi="Franklin Gothic Book"/>
          <w:sz w:val="20"/>
        </w:rPr>
        <w:t xml:space="preserve">n </w:t>
      </w:r>
      <w:r w:rsidR="00890996">
        <w:rPr>
          <w:rFonts w:ascii="Franklin Gothic Book" w:hAnsi="Franklin Gothic Book"/>
          <w:sz w:val="20"/>
        </w:rPr>
        <w:t xml:space="preserve">some local </w:t>
      </w:r>
      <w:r w:rsidR="001D104A" w:rsidRPr="007F5D5A">
        <w:rPr>
          <w:rFonts w:ascii="Franklin Gothic Book" w:hAnsi="Franklin Gothic Book"/>
          <w:sz w:val="20"/>
        </w:rPr>
        <w:t>markets</w:t>
      </w:r>
      <w:r w:rsidR="00890996">
        <w:rPr>
          <w:rFonts w:ascii="Franklin Gothic Book" w:hAnsi="Franklin Gothic Book"/>
          <w:sz w:val="20"/>
        </w:rPr>
        <w:t xml:space="preserve"> (communities)</w:t>
      </w:r>
      <w:r w:rsidR="001D104A" w:rsidRPr="007F5D5A">
        <w:rPr>
          <w:rFonts w:ascii="Franklin Gothic Book" w:hAnsi="Franklin Gothic Book"/>
          <w:sz w:val="20"/>
        </w:rPr>
        <w:t xml:space="preserve">, </w:t>
      </w:r>
      <w:r w:rsidR="001D104A">
        <w:rPr>
          <w:rFonts w:ascii="Franklin Gothic Book" w:hAnsi="Franklin Gothic Book"/>
          <w:sz w:val="20"/>
        </w:rPr>
        <w:t>the</w:t>
      </w:r>
      <w:r w:rsidR="001D104A" w:rsidRPr="007F5D5A">
        <w:rPr>
          <w:rFonts w:ascii="Franklin Gothic Book" w:hAnsi="Franklin Gothic Book"/>
          <w:sz w:val="20"/>
        </w:rPr>
        <w:t xml:space="preserve"> absence of</w:t>
      </w:r>
      <w:r w:rsidR="001D104A">
        <w:rPr>
          <w:rFonts w:ascii="Franklin Gothic Book" w:hAnsi="Franklin Gothic Book"/>
          <w:sz w:val="20"/>
        </w:rPr>
        <w:t xml:space="preserve"> a</w:t>
      </w:r>
      <w:r w:rsidR="001D104A" w:rsidRPr="007F5D5A">
        <w:rPr>
          <w:rFonts w:ascii="Franklin Gothic Book" w:hAnsi="Franklin Gothic Book"/>
          <w:sz w:val="20"/>
        </w:rPr>
        <w:t xml:space="preserve"> </w:t>
      </w:r>
      <w:r w:rsidR="001D104A">
        <w:rPr>
          <w:rFonts w:ascii="Franklin Gothic Book" w:hAnsi="Franklin Gothic Book"/>
          <w:sz w:val="20"/>
        </w:rPr>
        <w:t>Tazke</w:t>
      </w:r>
      <w:r w:rsidR="001D104A" w:rsidRPr="007F5D5A">
        <w:rPr>
          <w:rFonts w:ascii="Franklin Gothic Book" w:hAnsi="Franklin Gothic Book"/>
          <w:sz w:val="20"/>
        </w:rPr>
        <w:t xml:space="preserve">ra and/or a letter of guarantee may </w:t>
      </w:r>
      <w:r w:rsidR="00890996">
        <w:rPr>
          <w:rFonts w:ascii="Franklin Gothic Book" w:hAnsi="Franklin Gothic Book"/>
          <w:sz w:val="20"/>
        </w:rPr>
        <w:t>prevent</w:t>
      </w:r>
      <w:r w:rsidR="00890996" w:rsidRPr="007F5D5A">
        <w:rPr>
          <w:rFonts w:ascii="Franklin Gothic Book" w:hAnsi="Franklin Gothic Book"/>
          <w:sz w:val="20"/>
        </w:rPr>
        <w:t xml:space="preserve"> </w:t>
      </w:r>
      <w:r w:rsidR="001D104A" w:rsidRPr="007F5D5A">
        <w:rPr>
          <w:rFonts w:ascii="Franklin Gothic Book" w:hAnsi="Franklin Gothic Book"/>
          <w:sz w:val="20"/>
        </w:rPr>
        <w:t xml:space="preserve">access to </w:t>
      </w:r>
      <w:r w:rsidR="00890996">
        <w:rPr>
          <w:rFonts w:ascii="Franklin Gothic Book" w:hAnsi="Franklin Gothic Book"/>
          <w:sz w:val="20"/>
        </w:rPr>
        <w:t xml:space="preserve">a </w:t>
      </w:r>
      <w:r w:rsidR="001D104A" w:rsidRPr="007F5D5A">
        <w:rPr>
          <w:rFonts w:ascii="Franklin Gothic Book" w:hAnsi="Franklin Gothic Book"/>
          <w:sz w:val="20"/>
        </w:rPr>
        <w:t xml:space="preserve">large sector of rental housing market. </w:t>
      </w:r>
      <w:r w:rsidR="001D104A">
        <w:rPr>
          <w:rFonts w:ascii="Franklin Gothic Book" w:hAnsi="Franklin Gothic Book"/>
          <w:sz w:val="20"/>
        </w:rPr>
        <w:t>Further, since</w:t>
      </w:r>
      <w:r w:rsidR="001D104A" w:rsidRPr="005B1455">
        <w:rPr>
          <w:rFonts w:ascii="Franklin Gothic Book" w:hAnsi="Franklin Gothic Book"/>
          <w:sz w:val="20"/>
        </w:rPr>
        <w:t xml:space="preserve"> </w:t>
      </w:r>
      <w:r w:rsidR="001D104A">
        <w:rPr>
          <w:rFonts w:ascii="Franklin Gothic Book" w:hAnsi="Franklin Gothic Book"/>
          <w:sz w:val="20"/>
        </w:rPr>
        <w:t>the possession of Tazkera varies with displacement status (displaced populations, and, particularly, displaced women very often lack a Tazkera</w:t>
      </w:r>
      <w:r w:rsidR="001D104A">
        <w:rPr>
          <w:rStyle w:val="FootnoteReference"/>
          <w:rFonts w:ascii="Franklin Gothic Book" w:hAnsi="Franklin Gothic Book"/>
          <w:sz w:val="20"/>
        </w:rPr>
        <w:footnoteReference w:id="28"/>
      </w:r>
      <w:r w:rsidR="001D104A">
        <w:rPr>
          <w:rFonts w:ascii="Franklin Gothic Book" w:hAnsi="Franklin Gothic Book"/>
          <w:sz w:val="20"/>
        </w:rPr>
        <w:t>), and since</w:t>
      </w:r>
      <w:r w:rsidR="001D104A" w:rsidRPr="007F5D5A">
        <w:rPr>
          <w:rFonts w:ascii="Franklin Gothic Book" w:hAnsi="Franklin Gothic Book"/>
          <w:sz w:val="20"/>
        </w:rPr>
        <w:t xml:space="preserve"> displaced households may find it difficult to </w:t>
      </w:r>
      <w:r w:rsidR="001D104A">
        <w:rPr>
          <w:rFonts w:ascii="Franklin Gothic Book" w:hAnsi="Franklin Gothic Book"/>
          <w:sz w:val="20"/>
        </w:rPr>
        <w:t xml:space="preserve">find a </w:t>
      </w:r>
      <w:r w:rsidR="001D104A" w:rsidRPr="00051068">
        <w:rPr>
          <w:rFonts w:ascii="Franklin Gothic Book" w:hAnsi="Franklin Gothic Book"/>
          <w:sz w:val="20"/>
          <w:szCs w:val="20"/>
        </w:rPr>
        <w:t xml:space="preserve">guarantor the requirement to produce documents may present, for displaced populations, a serious limiting factor in accessing housing.  </w:t>
      </w:r>
    </w:p>
    <w:p w14:paraId="4DCB4F99" w14:textId="77777777" w:rsidR="007B7E04" w:rsidRPr="00051068" w:rsidRDefault="007B7E04" w:rsidP="00680945">
      <w:pPr>
        <w:pStyle w:val="NoSpacing"/>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rFonts w:ascii="Franklin Gothic Book" w:hAnsi="Franklin Gothic Book"/>
          <w:sz w:val="20"/>
          <w:szCs w:val="20"/>
        </w:rPr>
      </w:pPr>
    </w:p>
    <w:p w14:paraId="745CF1FA" w14:textId="3BFE8AC5" w:rsidR="00680945" w:rsidRPr="00051068" w:rsidRDefault="001D104A" w:rsidP="00680945">
      <w:pPr>
        <w:pStyle w:val="NoSpacing"/>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rFonts w:ascii="Franklin Gothic Book" w:hAnsi="Franklin Gothic Book"/>
          <w:sz w:val="20"/>
          <w:szCs w:val="20"/>
        </w:rPr>
      </w:pPr>
      <w:r w:rsidRPr="00051068">
        <w:rPr>
          <w:rFonts w:ascii="Franklin Gothic Book" w:hAnsi="Franklin Gothic Book"/>
          <w:sz w:val="20"/>
          <w:szCs w:val="20"/>
        </w:rPr>
        <w:t>Beneficiaries that lack a Ta</w:t>
      </w:r>
      <w:r w:rsidR="00996E6B">
        <w:rPr>
          <w:rFonts w:ascii="Franklin Gothic Book" w:hAnsi="Franklin Gothic Book"/>
          <w:sz w:val="20"/>
          <w:szCs w:val="20"/>
        </w:rPr>
        <w:t>z</w:t>
      </w:r>
      <w:r w:rsidRPr="00051068">
        <w:rPr>
          <w:rFonts w:ascii="Franklin Gothic Book" w:hAnsi="Franklin Gothic Book"/>
          <w:sz w:val="20"/>
          <w:szCs w:val="20"/>
        </w:rPr>
        <w:t>kera might be referred to the services of the NRC ICLA team</w:t>
      </w:r>
      <w:r w:rsidR="00523422" w:rsidRPr="00051068">
        <w:rPr>
          <w:rFonts w:ascii="Franklin Gothic Book" w:hAnsi="Franklin Gothic Book"/>
          <w:sz w:val="20"/>
          <w:szCs w:val="20"/>
        </w:rPr>
        <w:t xml:space="preserve"> to assist that tenants (in particular</w:t>
      </w:r>
      <w:r w:rsidR="00890996">
        <w:rPr>
          <w:rFonts w:ascii="Franklin Gothic Book" w:hAnsi="Franklin Gothic Book"/>
          <w:sz w:val="20"/>
          <w:szCs w:val="20"/>
        </w:rPr>
        <w:t>,</w:t>
      </w:r>
      <w:r w:rsidR="00523422" w:rsidRPr="00051068">
        <w:rPr>
          <w:rFonts w:ascii="Franklin Gothic Book" w:hAnsi="Franklin Gothic Book"/>
          <w:sz w:val="20"/>
          <w:szCs w:val="20"/>
        </w:rPr>
        <w:t xml:space="preserve"> displaced women as more marginalized groups) have the relevant documents.</w:t>
      </w:r>
      <w:r w:rsidRPr="00051068">
        <w:rPr>
          <w:rFonts w:ascii="Franklin Gothic Book" w:hAnsi="Franklin Gothic Book"/>
          <w:sz w:val="20"/>
          <w:szCs w:val="20"/>
        </w:rPr>
        <w:t xml:space="preserve"> </w:t>
      </w:r>
      <w:r w:rsidR="00680945" w:rsidRPr="00051068">
        <w:rPr>
          <w:rFonts w:ascii="Franklin Gothic Book" w:hAnsi="Franklin Gothic Book"/>
          <w:sz w:val="20"/>
          <w:szCs w:val="20"/>
        </w:rPr>
        <w:t xml:space="preserve"> </w:t>
      </w:r>
    </w:p>
    <w:p w14:paraId="26E2A0DC" w14:textId="77777777" w:rsidR="00680945" w:rsidRPr="00680945" w:rsidRDefault="00680945" w:rsidP="00680945">
      <w:pPr>
        <w:pStyle w:val="NoSpacing"/>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rFonts w:ascii="Franklin Gothic Book" w:hAnsi="Franklin Gothic Book"/>
          <w:sz w:val="10"/>
        </w:rPr>
      </w:pPr>
    </w:p>
    <w:p w14:paraId="73EFF25B" w14:textId="77777777" w:rsidR="00E47B69" w:rsidRDefault="00E47B69" w:rsidP="00635530"/>
    <w:p w14:paraId="77F1C6E5" w14:textId="3F6EEFA1" w:rsidR="009B479D" w:rsidRDefault="0009728E" w:rsidP="00635530">
      <w:r>
        <w:t xml:space="preserve">A separate </w:t>
      </w:r>
      <w:r w:rsidR="009B479D">
        <w:t xml:space="preserve">practice intended to protect </w:t>
      </w:r>
      <w:r w:rsidR="009B479D" w:rsidRPr="0068076D">
        <w:t xml:space="preserve">the </w:t>
      </w:r>
      <w:r w:rsidR="00617BAD">
        <w:t>tenants</w:t>
      </w:r>
      <w:r w:rsidR="009B479D" w:rsidRPr="006B5182">
        <w:t>, is the use of a proof of rent payments</w:t>
      </w:r>
      <w:r w:rsidR="006D37B4" w:rsidRPr="006B5182">
        <w:t xml:space="preserve"> (receipts)</w:t>
      </w:r>
      <w:r w:rsidR="009B479D" w:rsidRPr="0068076D">
        <w:t xml:space="preserve">. </w:t>
      </w:r>
      <w:r w:rsidR="009B479D">
        <w:t>The prevalence of this instrument</w:t>
      </w:r>
      <w:r w:rsidR="00E14141">
        <w:t xml:space="preserve"> </w:t>
      </w:r>
      <w:r w:rsidR="003B60F4">
        <w:t xml:space="preserve">is believed to be </w:t>
      </w:r>
      <w:r w:rsidR="00E14141">
        <w:t>an indicator of how formal and</w:t>
      </w:r>
      <w:r w:rsidR="00E14141" w:rsidRPr="00E14141">
        <w:t xml:space="preserve"> regulated the </w:t>
      </w:r>
      <w:r w:rsidR="003B60F4">
        <w:t xml:space="preserve">specific </w:t>
      </w:r>
      <w:r w:rsidR="00E14141" w:rsidRPr="00E14141">
        <w:t xml:space="preserve">market </w:t>
      </w:r>
      <w:r w:rsidR="003B60F4">
        <w:t>is</w:t>
      </w:r>
      <w:r w:rsidR="00E14141">
        <w:t>.</w:t>
      </w:r>
      <w:r w:rsidR="009B479D">
        <w:t xml:space="preserve"> </w:t>
      </w:r>
      <w:r w:rsidR="00E14141">
        <w:t>W</w:t>
      </w:r>
      <w:r w:rsidR="009B479D">
        <w:t xml:space="preserve">hile in Jalalabad urban area and in Kabul camp almost </w:t>
      </w:r>
      <w:r w:rsidR="00E14141">
        <w:t>one-third</w:t>
      </w:r>
      <w:r w:rsidR="009B479D">
        <w:t xml:space="preserve"> of respondents reported receiving proof of payment, in other markets, such as </w:t>
      </w:r>
      <w:r w:rsidR="006D37B4">
        <w:t xml:space="preserve">in </w:t>
      </w:r>
      <w:r w:rsidR="009B479D">
        <w:t xml:space="preserve">Chamtala or Bar Shegi, </w:t>
      </w:r>
      <w:r w:rsidR="00635530">
        <w:t>payment receipts are</w:t>
      </w:r>
      <w:r w:rsidR="009B479D">
        <w:t xml:space="preserve"> unknown. </w:t>
      </w:r>
      <w:r w:rsidR="006D37B4">
        <w:t>The use of p</w:t>
      </w:r>
      <w:r w:rsidR="009B479D">
        <w:t>roof of payment</w:t>
      </w:r>
      <w:r w:rsidR="006D37B4">
        <w:t xml:space="preserve"> follows other formal instruments: it is used in 73% of the cases when there is a written rental agreement (as opposed to only 10% of the cases when there is only an oral rental agreement)</w:t>
      </w:r>
      <w:r w:rsidR="005D02D4">
        <w:t>, and in 78% of the case when landlords req</w:t>
      </w:r>
      <w:r w:rsidR="00E14141">
        <w:t>uired tenants to present a Tazke</w:t>
      </w:r>
      <w:r w:rsidR="005D02D4">
        <w:t xml:space="preserve">ra) </w:t>
      </w:r>
    </w:p>
    <w:p w14:paraId="34B664F7" w14:textId="77777777" w:rsidR="00A05D38" w:rsidRDefault="00A05D38" w:rsidP="00635530"/>
    <w:p w14:paraId="05E3E432" w14:textId="62ECA3A1" w:rsidR="00B96908" w:rsidRDefault="003B60F4" w:rsidP="00680945">
      <w:r>
        <w:t>Since the use of formal instruments varies significantly between the center and the periphery, h</w:t>
      </w:r>
      <w:r w:rsidR="006D37B4">
        <w:t>ousing rental market in</w:t>
      </w:r>
      <w:r>
        <w:t xml:space="preserve"> </w:t>
      </w:r>
      <w:r w:rsidR="001A4498">
        <w:t xml:space="preserve">Jalalabad </w:t>
      </w:r>
      <w:r>
        <w:t xml:space="preserve">urban area </w:t>
      </w:r>
      <w:r w:rsidR="006D37B4">
        <w:t xml:space="preserve">could be </w:t>
      </w:r>
      <w:r>
        <w:t xml:space="preserve">regarded </w:t>
      </w:r>
      <w:r w:rsidR="006D37B4">
        <w:t xml:space="preserve">as moving towards greater </w:t>
      </w:r>
      <w:r w:rsidR="00316BFC">
        <w:t>formalization</w:t>
      </w:r>
      <w:r w:rsidR="006D37B4">
        <w:t xml:space="preserve">, </w:t>
      </w:r>
      <w:r w:rsidR="00316BFC">
        <w:t>with</w:t>
      </w:r>
      <w:r w:rsidR="006D37B4">
        <w:t xml:space="preserve"> an increased use of formal written instruments intended to protect both the ten</w:t>
      </w:r>
      <w:r w:rsidR="00E809EE">
        <w:t xml:space="preserve">ant and the landlord, which can </w:t>
      </w:r>
      <w:r w:rsidR="006D37B4">
        <w:t xml:space="preserve">contribute to an increased security of tenure. </w:t>
      </w:r>
      <w:r w:rsidR="00E809EE">
        <w:t>The survey</w:t>
      </w:r>
      <w:r w:rsidR="00316BFC">
        <w:t xml:space="preserve"> indicates that m</w:t>
      </w:r>
      <w:r w:rsidR="006D37B4">
        <w:t xml:space="preserve">ore advanced </w:t>
      </w:r>
      <w:r w:rsidR="001A4498">
        <w:t xml:space="preserve">local </w:t>
      </w:r>
      <w:r w:rsidR="006D37B4">
        <w:t>markets (</w:t>
      </w:r>
      <w:r w:rsidR="00316BFC">
        <w:t>u</w:t>
      </w:r>
      <w:r w:rsidR="006D37B4">
        <w:t xml:space="preserve">rban and suburban areas, the </w:t>
      </w:r>
      <w:r w:rsidR="00316BFC">
        <w:t xml:space="preserve">large market of Jalalabad metropolitan area) use these instruments more often compared to rural, peripheral locations. </w:t>
      </w:r>
    </w:p>
    <w:p w14:paraId="006D5083" w14:textId="77777777" w:rsidR="009D70D5" w:rsidRDefault="009D70D5" w:rsidP="005023CB"/>
    <w:p w14:paraId="2842EFE6" w14:textId="548D705D" w:rsidR="00A94BA4" w:rsidRDefault="00A94BA4" w:rsidP="005023CB">
      <w:r>
        <w:t xml:space="preserve">The experiences of female and male respondents regarding </w:t>
      </w:r>
      <w:r w:rsidR="003B60F4">
        <w:t>security of tenure</w:t>
      </w:r>
      <w:r>
        <w:t xml:space="preserve"> are vastly divergent. </w:t>
      </w:r>
      <w:r w:rsidR="008A16B3">
        <w:t>Female respondents report</w:t>
      </w:r>
      <w:r w:rsidR="003B60F4">
        <w:t>ed</w:t>
      </w:r>
      <w:r w:rsidR="008A16B3">
        <w:t xml:space="preserve"> lower incidence of written contracts than male respondents: </w:t>
      </w:r>
      <w:r w:rsidR="003B60F4">
        <w:t xml:space="preserve">only </w:t>
      </w:r>
      <w:r>
        <w:t xml:space="preserve">25.9% for females and 35.2% for males. </w:t>
      </w:r>
      <w:r w:rsidR="002C2B88">
        <w:t>F</w:t>
      </w:r>
      <w:r>
        <w:t>emale respondents report</w:t>
      </w:r>
      <w:r w:rsidR="003B60F4">
        <w:t>ed</w:t>
      </w:r>
      <w:r>
        <w:t xml:space="preserve"> that they receive a receipt for payment in 23.6% of cases, while males - in 35.2%. </w:t>
      </w:r>
      <w:r w:rsidR="00EE4099">
        <w:t xml:space="preserve">The assessment does not allow to fully understand the reasons for that: it could be that females would be excluded from contract negotiations, or </w:t>
      </w:r>
      <w:r w:rsidR="003B60F4">
        <w:t>remain unaw</w:t>
      </w:r>
      <w:r w:rsidR="00EE4099">
        <w:t>are of the formal documents that exist</w:t>
      </w:r>
      <w:r w:rsidR="003B60F4">
        <w:t xml:space="preserve"> (if the</w:t>
      </w:r>
      <w:r w:rsidR="003B60F4" w:rsidRPr="003B60F4">
        <w:t xml:space="preserve"> </w:t>
      </w:r>
      <w:r w:rsidR="003B60F4">
        <w:t>rental agreement had been conducted by male relatives without sharing details with the women in the household)</w:t>
      </w:r>
      <w:r w:rsidR="00EE4099">
        <w:t xml:space="preserve">. </w:t>
      </w:r>
      <w:r w:rsidR="002C2B88">
        <w:t>S</w:t>
      </w:r>
      <w:r w:rsidR="00384801">
        <w:t xml:space="preserve">ince it is less common for </w:t>
      </w:r>
      <w:r w:rsidR="002C2B88">
        <w:t>women</w:t>
      </w:r>
      <w:r w:rsidR="00384801">
        <w:t xml:space="preserve"> to po</w:t>
      </w:r>
      <w:r w:rsidR="002324FD">
        <w:t>s</w:t>
      </w:r>
      <w:r w:rsidR="00384801">
        <w:t xml:space="preserve">sess documents, </w:t>
      </w:r>
      <w:r w:rsidR="005A0040">
        <w:t xml:space="preserve">common practice would adapt to </w:t>
      </w:r>
      <w:r w:rsidR="003B60F4">
        <w:t xml:space="preserve">this </w:t>
      </w:r>
      <w:r w:rsidR="005A0040">
        <w:t xml:space="preserve">fact and </w:t>
      </w:r>
      <w:r w:rsidR="003B60F4">
        <w:t xml:space="preserve">women </w:t>
      </w:r>
      <w:r w:rsidR="005A0040">
        <w:t>would not be required to produce documents when renting</w:t>
      </w:r>
      <w:r w:rsidR="002C2B88">
        <w:t xml:space="preserve">. </w:t>
      </w:r>
      <w:r w:rsidR="00EE4099">
        <w:t xml:space="preserve"> </w:t>
      </w:r>
    </w:p>
    <w:p w14:paraId="188CE6EC" w14:textId="7083BC90" w:rsidR="00A94BA4" w:rsidRDefault="00A94BA4" w:rsidP="009B479D">
      <w:pPr>
        <w:pStyle w:val="NoSpacing"/>
      </w:pPr>
    </w:p>
    <w:p w14:paraId="619978A9" w14:textId="509A50F2" w:rsidR="00354EAE" w:rsidRDefault="00EE4099" w:rsidP="005023CB">
      <w:r>
        <w:t xml:space="preserve">Considering lower security of tenure reported by female respondents, </w:t>
      </w:r>
      <w:r w:rsidR="005A0040">
        <w:t xml:space="preserve">it is </w:t>
      </w:r>
      <w:r w:rsidR="00D20687">
        <w:t>then exp</w:t>
      </w:r>
      <w:r w:rsidR="005A0040">
        <w:t xml:space="preserve">ected that female respondents </w:t>
      </w:r>
      <w:r w:rsidR="00437871">
        <w:t xml:space="preserve">also </w:t>
      </w:r>
      <w:r w:rsidR="005A0040">
        <w:t>report lower levels of satisfaction with the</w:t>
      </w:r>
      <w:r w:rsidR="00437871">
        <w:t xml:space="preserve">ir current rented </w:t>
      </w:r>
      <w:r w:rsidR="005A0040">
        <w:t xml:space="preserve">accommodation: women were unhappy with current housing in 16.2% of responses, while </w:t>
      </w:r>
      <w:r w:rsidR="00437871">
        <w:t xml:space="preserve">for men the corresponding number is only </w:t>
      </w:r>
      <w:r w:rsidR="005A0040">
        <w:t xml:space="preserve">2.6%. </w:t>
      </w:r>
      <w:r w:rsidR="005377C6">
        <w:t xml:space="preserve">The most common reason for dissatisfaction </w:t>
      </w:r>
      <w:r w:rsidR="00FF5BB2">
        <w:t xml:space="preserve">among women </w:t>
      </w:r>
      <w:r w:rsidR="005377C6">
        <w:t>is that the rent is too high (8</w:t>
      </w:r>
      <w:r w:rsidR="005A6EBB">
        <w:t>4</w:t>
      </w:r>
      <w:r w:rsidR="005377C6">
        <w:t xml:space="preserve">%), followed by </w:t>
      </w:r>
      <w:r w:rsidR="00FF5BB2">
        <w:t>sense of insecurity</w:t>
      </w:r>
      <w:r w:rsidR="005377C6">
        <w:t xml:space="preserve"> (7%)</w:t>
      </w:r>
      <w:r w:rsidR="001A4498">
        <w:t xml:space="preserve">, while men </w:t>
      </w:r>
      <w:r w:rsidR="00F35251">
        <w:t xml:space="preserve">most often complain of </w:t>
      </w:r>
      <w:r w:rsidR="001A4498">
        <w:t>high rent (</w:t>
      </w:r>
      <w:r w:rsidR="005A6EBB">
        <w:t>60%), and overcrowding</w:t>
      </w:r>
      <w:r w:rsidR="00F35251">
        <w:t xml:space="preserve"> or necessity to live with relatives</w:t>
      </w:r>
      <w:r w:rsidR="005A6EBB">
        <w:t xml:space="preserve"> (30%)</w:t>
      </w:r>
      <w:r w:rsidR="00F35251">
        <w:t>.</w:t>
      </w:r>
    </w:p>
    <w:p w14:paraId="1D6ED258" w14:textId="77777777" w:rsidR="00550F1C" w:rsidRDefault="00550F1C" w:rsidP="005023CB"/>
    <w:p w14:paraId="32A0B8F6" w14:textId="2C517DA2" w:rsidR="00A6704D" w:rsidRDefault="00550F1C" w:rsidP="005023CB">
      <w:r>
        <w:t>Due to the lower rates of satisfaction, w</w:t>
      </w:r>
      <w:r w:rsidR="00FF5BB2">
        <w:t>omen</w:t>
      </w:r>
      <w:r>
        <w:t>,</w:t>
      </w:r>
      <w:r w:rsidR="00FF5BB2">
        <w:t xml:space="preserve"> more often </w:t>
      </w:r>
      <w:r>
        <w:t xml:space="preserve">than men, </w:t>
      </w:r>
      <w:r w:rsidR="00FF5BB2">
        <w:t xml:space="preserve">declared their intention to look for another housing: </w:t>
      </w:r>
      <w:r w:rsidR="005377C6">
        <w:t xml:space="preserve">16.8% of women intend to move out </w:t>
      </w:r>
      <w:r w:rsidR="00FF5BB2">
        <w:t>within</w:t>
      </w:r>
      <w:r w:rsidR="005377C6">
        <w:t xml:space="preserve"> the next 6 months (only 4.7% of men), while </w:t>
      </w:r>
      <w:r w:rsidR="005A0040">
        <w:t>17.8% of women intend stay in the current housing (</w:t>
      </w:r>
      <w:r w:rsidR="005377C6">
        <w:t>men</w:t>
      </w:r>
      <w:r w:rsidR="005023CB">
        <w:t>,</w:t>
      </w:r>
      <w:r w:rsidR="005377C6">
        <w:t xml:space="preserve"> </w:t>
      </w:r>
      <w:r w:rsidR="005A0040">
        <w:t>33.9%)</w:t>
      </w:r>
      <w:r w:rsidR="00A6704D">
        <w:t>.</w:t>
      </w:r>
      <w:r w:rsidR="007E7825">
        <w:t xml:space="preserve"> In order to prevent additional displacement and improve living conditions acceptable also to women, further consultation is necessary</w:t>
      </w:r>
      <w:r w:rsidR="007E7825" w:rsidRPr="007E7825">
        <w:t xml:space="preserve"> </w:t>
      </w:r>
      <w:r w:rsidR="007E7825">
        <w:t>to understanding</w:t>
      </w:r>
      <w:r w:rsidR="007E7825" w:rsidRPr="007E7825">
        <w:t xml:space="preserve"> the reasons why women are less satisfied than men</w:t>
      </w:r>
      <w:r w:rsidR="007E7825">
        <w:t xml:space="preserve">. </w:t>
      </w:r>
    </w:p>
    <w:p w14:paraId="091DE68E" w14:textId="77777777" w:rsidR="00A6704D" w:rsidRDefault="00A6704D" w:rsidP="005023CB"/>
    <w:p w14:paraId="5A15B8E8" w14:textId="6973984E" w:rsidR="00B62914" w:rsidRDefault="00A6704D" w:rsidP="005023CB">
      <w:r>
        <w:t xml:space="preserve">Women reported staying in the same location for a longer period: more than two thirds, 69.4% of female respondents reported that they had stayed in the current location for more than 6 months – compared with 36% of men. It is unclear why this should be the case, but a similar proportion appears in all demographic categories, displaced and non-displaced alike. One possible explanation could be that men </w:t>
      </w:r>
      <w:r w:rsidR="00575BF7">
        <w:t>may</w:t>
      </w:r>
      <w:r w:rsidR="00F35251">
        <w:t xml:space="preserve"> often</w:t>
      </w:r>
      <w:r w:rsidR="00575BF7">
        <w:t xml:space="preserve"> be </w:t>
      </w:r>
      <w:r>
        <w:t>travelling</w:t>
      </w:r>
      <w:r w:rsidR="00575BF7">
        <w:t xml:space="preserve"> separately from the family</w:t>
      </w:r>
      <w:r>
        <w:t xml:space="preserve">. </w:t>
      </w:r>
    </w:p>
    <w:p w14:paraId="0AA6E29B" w14:textId="79D219BD" w:rsidR="002C7E89" w:rsidRPr="003105FF" w:rsidRDefault="002C7E89" w:rsidP="005023CB"/>
    <w:p w14:paraId="0C325489" w14:textId="77777777" w:rsidR="003105FF" w:rsidRPr="002C7E89" w:rsidRDefault="003105FF" w:rsidP="005023CB">
      <w:pPr>
        <w:rPr>
          <w:sz w:val="10"/>
        </w:rPr>
      </w:pPr>
    </w:p>
    <w:p w14:paraId="57D2BE24" w14:textId="62AFF6AB" w:rsidR="001D104A" w:rsidRPr="001D104A" w:rsidRDefault="001D104A" w:rsidP="0022240D">
      <w:pPr>
        <w:pBdr>
          <w:top w:val="single" w:sz="4" w:space="1" w:color="auto"/>
          <w:left w:val="single" w:sz="4" w:space="4" w:color="auto"/>
          <w:bottom w:val="single" w:sz="4" w:space="1" w:color="auto"/>
          <w:right w:val="single" w:sz="4" w:space="4" w:color="auto"/>
        </w:pBdr>
        <w:rPr>
          <w:sz w:val="10"/>
        </w:rPr>
      </w:pPr>
    </w:p>
    <w:p w14:paraId="3650AB73" w14:textId="56CD9A8C" w:rsidR="0022240D" w:rsidRDefault="007B7E04" w:rsidP="007B7E04">
      <w:pPr>
        <w:pBdr>
          <w:top w:val="single" w:sz="4" w:space="1" w:color="auto"/>
          <w:left w:val="single" w:sz="4" w:space="4" w:color="auto"/>
          <w:bottom w:val="single" w:sz="4" w:space="1" w:color="auto"/>
          <w:right w:val="single" w:sz="4" w:space="4" w:color="auto"/>
        </w:pBdr>
      </w:pPr>
      <w:r w:rsidRPr="007B7E04">
        <w:t xml:space="preserve">A CfR programme would need to integrate </w:t>
      </w:r>
      <w:r w:rsidR="00420FD8">
        <w:t xml:space="preserve">or improve </w:t>
      </w:r>
      <w:r w:rsidRPr="007B7E04">
        <w:t xml:space="preserve">the </w:t>
      </w:r>
      <w:r w:rsidRPr="00420FD8">
        <w:rPr>
          <w:i/>
        </w:rPr>
        <w:t>existing</w:t>
      </w:r>
      <w:r w:rsidRPr="007B7E04">
        <w:t xml:space="preserve"> formal instruments in order to guarantee that both the landlords and the tenants would feel sufficiently protected.</w:t>
      </w:r>
    </w:p>
    <w:p w14:paraId="0F6420A0" w14:textId="77777777" w:rsidR="00523422" w:rsidRDefault="00523422" w:rsidP="007B7E04">
      <w:pPr>
        <w:pBdr>
          <w:top w:val="single" w:sz="4" w:space="1" w:color="auto"/>
          <w:left w:val="single" w:sz="4" w:space="4" w:color="auto"/>
          <w:bottom w:val="single" w:sz="4" w:space="1" w:color="auto"/>
          <w:right w:val="single" w:sz="4" w:space="4" w:color="auto"/>
        </w:pBdr>
      </w:pPr>
    </w:p>
    <w:p w14:paraId="325CC543" w14:textId="6A720541" w:rsidR="0022240D" w:rsidRPr="0022240D" w:rsidRDefault="0022240D" w:rsidP="0022240D">
      <w:pPr>
        <w:pBdr>
          <w:top w:val="single" w:sz="4" w:space="1" w:color="auto"/>
          <w:left w:val="single" w:sz="4" w:space="4" w:color="auto"/>
          <w:bottom w:val="single" w:sz="4" w:space="1" w:color="auto"/>
          <w:right w:val="single" w:sz="4" w:space="4" w:color="auto"/>
        </w:pBdr>
      </w:pPr>
      <w:r>
        <w:t xml:space="preserve">As mentioned above, </w:t>
      </w:r>
      <w:r w:rsidRPr="0022240D">
        <w:t>the likelihood of rent increase</w:t>
      </w:r>
      <w:r w:rsidR="00575BF7">
        <w:t>s grows</w:t>
      </w:r>
      <w:r>
        <w:t xml:space="preserve"> for </w:t>
      </w:r>
      <w:r w:rsidRPr="0022240D">
        <w:t>households with a written agreement. This is a very important aspect to consider for NRC</w:t>
      </w:r>
      <w:r w:rsidR="00420FD8">
        <w:t xml:space="preserve"> and the Shelter Cluster (which currently sets as a requirement </w:t>
      </w:r>
      <w:r>
        <w:t xml:space="preserve">that all CfR </w:t>
      </w:r>
      <w:r>
        <w:t>programmes must include a written rental agreement)</w:t>
      </w:r>
      <w:r w:rsidRPr="0022240D">
        <w:t xml:space="preserve">. </w:t>
      </w:r>
      <w:r>
        <w:t>Several c</w:t>
      </w:r>
      <w:r w:rsidRPr="0022240D">
        <w:t>onsiderations are made not to disturb the market through the cash distributed to beneficiaries</w:t>
      </w:r>
      <w:r>
        <w:t xml:space="preserve"> (e.g. when estimating the amount)</w:t>
      </w:r>
      <w:r w:rsidRPr="0022240D">
        <w:t xml:space="preserve">. While the services of </w:t>
      </w:r>
      <w:r w:rsidR="00575BF7">
        <w:t xml:space="preserve">NRC </w:t>
      </w:r>
      <w:r>
        <w:t>ICLA</w:t>
      </w:r>
      <w:r w:rsidRPr="0022240D">
        <w:t xml:space="preserve"> team in terms </w:t>
      </w:r>
      <w:r w:rsidR="00575BF7">
        <w:t xml:space="preserve">of </w:t>
      </w:r>
      <w:r w:rsidRPr="0022240D">
        <w:t>accompaniment might be necessary for some cases, the market could be also disturbed by</w:t>
      </w:r>
      <w:r>
        <w:t xml:space="preserve"> imposing </w:t>
      </w:r>
      <w:r w:rsidR="0022042A">
        <w:t xml:space="preserve">formalized </w:t>
      </w:r>
      <w:r w:rsidRPr="0022240D">
        <w:t>rental agreements</w:t>
      </w:r>
      <w:r w:rsidR="0022042A">
        <w:t xml:space="preserve"> (at least, in some locations)</w:t>
      </w:r>
      <w:r w:rsidRPr="0022240D">
        <w:t xml:space="preserve">. Further information and analysis, beyond the scope of this study is </w:t>
      </w:r>
      <w:r w:rsidR="00575BF7">
        <w:t xml:space="preserve">thus </w:t>
      </w:r>
      <w:r w:rsidRPr="0022240D">
        <w:t>required</w:t>
      </w:r>
      <w:r w:rsidR="00237721">
        <w:t xml:space="preserve"> (for instance to discern between the risk of a price increase and the protection a written agreement provides against eviction)</w:t>
      </w:r>
      <w:r w:rsidRPr="0022240D">
        <w:t>. If written agreements are part of the CfR programme, these agreements should commit to maintain the same rental price for a mutually agreed amount of time (two years if possible).</w:t>
      </w:r>
      <w:r>
        <w:t xml:space="preserve"> </w:t>
      </w:r>
    </w:p>
    <w:p w14:paraId="4B428985" w14:textId="77777777" w:rsidR="007E7825" w:rsidRDefault="007E7825" w:rsidP="0022240D">
      <w:pPr>
        <w:pBdr>
          <w:top w:val="single" w:sz="4" w:space="1" w:color="auto"/>
          <w:left w:val="single" w:sz="4" w:space="4" w:color="auto"/>
          <w:bottom w:val="single" w:sz="4" w:space="1" w:color="auto"/>
          <w:right w:val="single" w:sz="4" w:space="4" w:color="auto"/>
        </w:pBdr>
      </w:pPr>
    </w:p>
    <w:p w14:paraId="634CF40E" w14:textId="5EDFD02F" w:rsidR="005D02D4" w:rsidRDefault="00437871" w:rsidP="0022240D">
      <w:pPr>
        <w:pBdr>
          <w:top w:val="single" w:sz="4" w:space="1" w:color="auto"/>
          <w:left w:val="single" w:sz="4" w:space="4" w:color="auto"/>
          <w:bottom w:val="single" w:sz="4" w:space="1" w:color="auto"/>
          <w:right w:val="single" w:sz="4" w:space="4" w:color="auto"/>
        </w:pBdr>
      </w:pPr>
      <w:r w:rsidRPr="00444D74">
        <w:t>The monitoring of the CfR programme would need to investigate more in detail the reasons why women might not be satisfied with their housing arrangements</w:t>
      </w:r>
      <w:r w:rsidR="00575BF7">
        <w:t xml:space="preserve"> and living conditions</w:t>
      </w:r>
      <w:r w:rsidRPr="00444D74">
        <w:t>.</w:t>
      </w:r>
      <w:r w:rsidR="001F4C48" w:rsidRPr="00444D74">
        <w:t xml:space="preserve"> In particular, it could be useful to conduct focus group discussions with women only, or, alternatively, to interview women and men in the same household.</w:t>
      </w:r>
    </w:p>
    <w:p w14:paraId="74218D78" w14:textId="77777777" w:rsidR="0022240D" w:rsidRPr="0022240D" w:rsidRDefault="0022240D" w:rsidP="0022240D">
      <w:pPr>
        <w:pBdr>
          <w:top w:val="single" w:sz="4" w:space="1" w:color="auto"/>
          <w:left w:val="single" w:sz="4" w:space="4" w:color="auto"/>
          <w:bottom w:val="single" w:sz="4" w:space="1" w:color="auto"/>
          <w:right w:val="single" w:sz="4" w:space="4" w:color="auto"/>
        </w:pBdr>
        <w:rPr>
          <w:sz w:val="10"/>
        </w:rPr>
      </w:pPr>
    </w:p>
    <w:p w14:paraId="601237D6" w14:textId="77777777" w:rsidR="009D0F2C" w:rsidRPr="003105FF" w:rsidRDefault="009D0F2C" w:rsidP="003105FF">
      <w:pPr>
        <w:rPr>
          <w:sz w:val="10"/>
        </w:rPr>
      </w:pPr>
      <w:bookmarkStart w:id="32" w:name="_Toc523407964"/>
    </w:p>
    <w:p w14:paraId="391FA973" w14:textId="5B36CAE2" w:rsidR="006C763C" w:rsidRPr="006C763C" w:rsidRDefault="006C763C" w:rsidP="009D0F2C">
      <w:pPr>
        <w:pStyle w:val="Heading3"/>
      </w:pPr>
      <w:r>
        <w:t>Payment arrangements on the housing rental market</w:t>
      </w:r>
      <w:bookmarkEnd w:id="32"/>
    </w:p>
    <w:p w14:paraId="0EB4639E" w14:textId="16A48D14" w:rsidR="006C763C" w:rsidRPr="00194DB7" w:rsidRDefault="0022042A" w:rsidP="006C763C">
      <w:pPr>
        <w:rPr>
          <w:rFonts w:cstheme="minorHAnsi"/>
          <w:szCs w:val="20"/>
        </w:rPr>
      </w:pPr>
      <w:r>
        <w:rPr>
          <w:rFonts w:cstheme="minorHAnsi"/>
          <w:szCs w:val="20"/>
        </w:rPr>
        <w:t>In line with a</w:t>
      </w:r>
      <w:r w:rsidR="00BC69FD" w:rsidRPr="00194DB7">
        <w:rPr>
          <w:rFonts w:cstheme="minorHAnsi"/>
          <w:szCs w:val="20"/>
        </w:rPr>
        <w:t xml:space="preserve"> common practice, </w:t>
      </w:r>
      <w:r w:rsidR="006C763C" w:rsidRPr="00194DB7">
        <w:rPr>
          <w:rFonts w:cstheme="minorHAnsi"/>
          <w:szCs w:val="20"/>
        </w:rPr>
        <w:t xml:space="preserve">35.2% of </w:t>
      </w:r>
      <w:r w:rsidR="00BC69FD" w:rsidRPr="00194DB7">
        <w:rPr>
          <w:rFonts w:cstheme="minorHAnsi"/>
          <w:szCs w:val="20"/>
        </w:rPr>
        <w:t xml:space="preserve">HHs made advance rental payments. </w:t>
      </w:r>
      <w:r w:rsidR="006C763C" w:rsidRPr="00194DB7">
        <w:rPr>
          <w:rFonts w:cstheme="minorHAnsi"/>
          <w:szCs w:val="20"/>
        </w:rPr>
        <w:t>Th</w:t>
      </w:r>
      <w:r w:rsidR="00194DB7" w:rsidRPr="00194DB7">
        <w:rPr>
          <w:rFonts w:cstheme="minorHAnsi"/>
          <w:szCs w:val="20"/>
        </w:rPr>
        <w:t>is</w:t>
      </w:r>
      <w:r w:rsidR="006C763C" w:rsidRPr="00194DB7">
        <w:rPr>
          <w:rFonts w:cstheme="minorHAnsi"/>
          <w:szCs w:val="20"/>
        </w:rPr>
        <w:t xml:space="preserve"> varies with geographical markets </w:t>
      </w:r>
      <w:r w:rsidR="006C763C" w:rsidRPr="00194DB7">
        <w:rPr>
          <w:rFonts w:cstheme="minorHAnsi"/>
          <w:szCs w:val="20"/>
        </w:rPr>
        <w:fldChar w:fldCharType="begin"/>
      </w:r>
      <w:r w:rsidR="006C763C" w:rsidRPr="00194DB7">
        <w:rPr>
          <w:rFonts w:cstheme="minorHAnsi"/>
          <w:szCs w:val="20"/>
        </w:rPr>
        <w:instrText xml:space="preserve"> REF _Ref523226433 \h </w:instrText>
      </w:r>
      <w:r w:rsidR="00194DB7">
        <w:rPr>
          <w:rFonts w:cstheme="minorHAnsi"/>
          <w:szCs w:val="20"/>
        </w:rPr>
        <w:instrText xml:space="preserve"> \* MERGEFORMAT </w:instrText>
      </w:r>
      <w:r w:rsidR="006C763C" w:rsidRPr="00194DB7">
        <w:rPr>
          <w:rFonts w:cstheme="minorHAnsi"/>
          <w:szCs w:val="20"/>
        </w:rPr>
      </w:r>
      <w:r w:rsidR="006C763C" w:rsidRPr="00194DB7">
        <w:rPr>
          <w:rFonts w:cstheme="minorHAnsi"/>
          <w:szCs w:val="20"/>
        </w:rPr>
        <w:fldChar w:fldCharType="separate"/>
      </w:r>
      <w:r w:rsidRPr="002628EA">
        <w:rPr>
          <w:szCs w:val="20"/>
        </w:rPr>
        <w:t xml:space="preserve">   </w:t>
      </w:r>
      <w:r>
        <w:rPr>
          <w:szCs w:val="20"/>
        </w:rPr>
        <w:t>(</w:t>
      </w:r>
      <w:r w:rsidRPr="002628EA">
        <w:rPr>
          <w:szCs w:val="20"/>
        </w:rPr>
        <w:t>Table</w:t>
      </w:r>
      <w:r w:rsidRPr="003105FF">
        <w:rPr>
          <w:noProof/>
          <w:szCs w:val="20"/>
        </w:rPr>
        <w:t xml:space="preserve"> </w:t>
      </w:r>
      <w:r>
        <w:rPr>
          <w:noProof/>
        </w:rPr>
        <w:t>7</w:t>
      </w:r>
      <w:r w:rsidR="006C763C" w:rsidRPr="00194DB7">
        <w:rPr>
          <w:rFonts w:cstheme="minorHAnsi"/>
          <w:szCs w:val="20"/>
        </w:rPr>
        <w:fldChar w:fldCharType="end"/>
      </w:r>
      <w:r w:rsidR="006C763C" w:rsidRPr="00194DB7">
        <w:rPr>
          <w:rFonts w:cstheme="minorHAnsi"/>
          <w:szCs w:val="20"/>
        </w:rPr>
        <w:t>) and the average advance payment appears to be between 3 and 4 months of rent.</w:t>
      </w:r>
      <w:r w:rsidR="00194DB7" w:rsidRPr="00194DB7">
        <w:rPr>
          <w:rFonts w:cstheme="minorHAnsi"/>
          <w:szCs w:val="20"/>
        </w:rPr>
        <w:t xml:space="preserve"> Host Community </w:t>
      </w:r>
      <w:r w:rsidR="00113347">
        <w:rPr>
          <w:rFonts w:cstheme="minorHAnsi"/>
          <w:szCs w:val="20"/>
        </w:rPr>
        <w:t xml:space="preserve">HH </w:t>
      </w:r>
      <w:r w:rsidR="00194DB7" w:rsidRPr="00194DB7">
        <w:rPr>
          <w:rFonts w:cstheme="minorHAnsi"/>
          <w:szCs w:val="20"/>
        </w:rPr>
        <w:t xml:space="preserve">reported </w:t>
      </w:r>
      <w:r w:rsidR="00113347" w:rsidRPr="00194DB7">
        <w:rPr>
          <w:rFonts w:eastAsia="Times New Roman" w:cs="Times New Roman"/>
          <w:color w:val="000000"/>
          <w:szCs w:val="20"/>
          <w:lang w:val="en-GB" w:eastAsia="en-GB"/>
        </w:rPr>
        <w:t>mak</w:t>
      </w:r>
      <w:r w:rsidR="00113347">
        <w:rPr>
          <w:rFonts w:eastAsia="Times New Roman" w:cs="Times New Roman"/>
          <w:color w:val="000000"/>
          <w:szCs w:val="20"/>
          <w:lang w:val="en-GB" w:eastAsia="en-GB"/>
        </w:rPr>
        <w:t>ing</w:t>
      </w:r>
      <w:r w:rsidR="00113347" w:rsidRPr="00194DB7">
        <w:rPr>
          <w:rFonts w:eastAsia="Times New Roman" w:cs="Times New Roman"/>
          <w:color w:val="000000"/>
          <w:szCs w:val="20"/>
          <w:lang w:val="en-GB" w:eastAsia="en-GB"/>
        </w:rPr>
        <w:t xml:space="preserve"> advance payments</w:t>
      </w:r>
      <w:r w:rsidR="00113347" w:rsidRPr="00194DB7">
        <w:rPr>
          <w:rFonts w:cstheme="minorHAnsi"/>
          <w:szCs w:val="20"/>
        </w:rPr>
        <w:t xml:space="preserve"> </w:t>
      </w:r>
      <w:r w:rsidR="00194DB7" w:rsidRPr="00194DB7">
        <w:rPr>
          <w:rFonts w:cstheme="minorHAnsi"/>
          <w:szCs w:val="20"/>
        </w:rPr>
        <w:t xml:space="preserve">in </w:t>
      </w:r>
      <w:r w:rsidR="00194DB7" w:rsidRPr="00194DB7">
        <w:rPr>
          <w:rFonts w:eastAsia="Times New Roman" w:cs="Times New Roman"/>
          <w:color w:val="000000"/>
          <w:szCs w:val="20"/>
          <w:lang w:val="en-GB" w:eastAsia="en-GB"/>
        </w:rPr>
        <w:t xml:space="preserve">32.82% of the cases. </w:t>
      </w:r>
      <w:r w:rsidR="00113347">
        <w:rPr>
          <w:rFonts w:eastAsia="Times New Roman" w:cs="Times New Roman"/>
          <w:color w:val="000000"/>
          <w:szCs w:val="20"/>
          <w:lang w:val="en-GB" w:eastAsia="en-GB"/>
        </w:rPr>
        <w:t xml:space="preserve">Displaced households were requested to </w:t>
      </w:r>
      <w:r w:rsidR="00113347" w:rsidRPr="00194DB7">
        <w:rPr>
          <w:rFonts w:cstheme="minorHAnsi"/>
          <w:szCs w:val="20"/>
        </w:rPr>
        <w:t>pay in advance</w:t>
      </w:r>
      <w:r w:rsidR="00113347" w:rsidRPr="00194DB7">
        <w:rPr>
          <w:rFonts w:eastAsia="Times New Roman" w:cs="Times New Roman"/>
          <w:color w:val="000000"/>
          <w:szCs w:val="20"/>
          <w:lang w:val="en-GB" w:eastAsia="en-GB"/>
        </w:rPr>
        <w:t xml:space="preserve"> </w:t>
      </w:r>
      <w:r w:rsidR="00113347">
        <w:rPr>
          <w:rFonts w:eastAsia="Times New Roman" w:cs="Times New Roman"/>
          <w:color w:val="000000"/>
          <w:szCs w:val="20"/>
          <w:lang w:val="en-GB" w:eastAsia="en-GB"/>
        </w:rPr>
        <w:t xml:space="preserve">more often: </w:t>
      </w:r>
      <w:r w:rsidR="00194DB7" w:rsidRPr="00194DB7">
        <w:rPr>
          <w:rFonts w:eastAsia="Times New Roman" w:cs="Times New Roman"/>
          <w:color w:val="000000"/>
          <w:szCs w:val="20"/>
          <w:lang w:val="en-GB" w:eastAsia="en-GB"/>
        </w:rPr>
        <w:t>41.14% of</w:t>
      </w:r>
      <w:r w:rsidR="006C763C" w:rsidRPr="00194DB7">
        <w:rPr>
          <w:rFonts w:cstheme="minorHAnsi"/>
          <w:szCs w:val="20"/>
        </w:rPr>
        <w:t xml:space="preserve"> IDP </w:t>
      </w:r>
      <w:r w:rsidR="00194DB7" w:rsidRPr="00194DB7">
        <w:rPr>
          <w:rFonts w:cstheme="minorHAnsi"/>
          <w:szCs w:val="20"/>
        </w:rPr>
        <w:t>HH</w:t>
      </w:r>
      <w:r w:rsidR="006C763C" w:rsidRPr="00194DB7">
        <w:rPr>
          <w:rFonts w:cstheme="minorHAnsi"/>
          <w:szCs w:val="20"/>
        </w:rPr>
        <w:t xml:space="preserve">s, </w:t>
      </w:r>
      <w:r w:rsidR="00194DB7" w:rsidRPr="00194DB7">
        <w:rPr>
          <w:rFonts w:cstheme="minorHAnsi"/>
          <w:szCs w:val="20"/>
        </w:rPr>
        <w:t>and</w:t>
      </w:r>
      <w:r w:rsidR="006C763C" w:rsidRPr="00194DB7">
        <w:rPr>
          <w:rFonts w:cstheme="minorHAnsi"/>
          <w:szCs w:val="20"/>
        </w:rPr>
        <w:t xml:space="preserve"> </w:t>
      </w:r>
      <w:r w:rsidR="00194DB7" w:rsidRPr="00194DB7">
        <w:rPr>
          <w:rFonts w:eastAsia="Times New Roman" w:cs="Times New Roman"/>
          <w:color w:val="000000"/>
          <w:szCs w:val="20"/>
          <w:lang w:val="en-GB" w:eastAsia="en-GB"/>
        </w:rPr>
        <w:t xml:space="preserve">35.35% of </w:t>
      </w:r>
      <w:r w:rsidR="006C763C" w:rsidRPr="00194DB7">
        <w:rPr>
          <w:rFonts w:cstheme="minorHAnsi"/>
          <w:szCs w:val="20"/>
        </w:rPr>
        <w:t>returnees.</w:t>
      </w:r>
    </w:p>
    <w:p w14:paraId="395E58C6" w14:textId="77777777" w:rsidR="006C763C" w:rsidRDefault="006C763C" w:rsidP="006C763C">
      <w:pPr>
        <w:rPr>
          <w:rFonts w:cstheme="minorHAnsi"/>
        </w:rPr>
      </w:pPr>
    </w:p>
    <w:p w14:paraId="73807C7E" w14:textId="67DA693F" w:rsidR="006C763C" w:rsidRDefault="00B10F22" w:rsidP="00B10F22">
      <w:pPr>
        <w:pStyle w:val="Caption"/>
        <w:keepNext/>
        <w:ind w:left="1440"/>
      </w:pPr>
      <w:bookmarkStart w:id="33" w:name="_Ref523226433"/>
      <w:r>
        <w:t xml:space="preserve">      </w:t>
      </w:r>
      <w:r w:rsidR="006C763C">
        <w:t xml:space="preserve">Table </w:t>
      </w:r>
      <w:r w:rsidR="006C763C">
        <w:fldChar w:fldCharType="begin"/>
      </w:r>
      <w:r w:rsidR="006C763C">
        <w:rPr>
          <w:noProof/>
        </w:rPr>
        <w:instrText xml:space="preserve"> SEQ Table \* ARABIC </w:instrText>
      </w:r>
      <w:r w:rsidR="006C763C">
        <w:fldChar w:fldCharType="separate"/>
      </w:r>
      <w:r w:rsidR="0022042A">
        <w:rPr>
          <w:noProof/>
        </w:rPr>
        <w:t>7</w:t>
      </w:r>
      <w:r w:rsidR="006C763C">
        <w:fldChar w:fldCharType="end"/>
      </w:r>
      <w:bookmarkEnd w:id="33"/>
      <w:r w:rsidR="006C763C">
        <w:t xml:space="preserve"> Prevalence of advance payments in different markets</w:t>
      </w:r>
    </w:p>
    <w:tbl>
      <w:tblPr>
        <w:tblW w:w="7465" w:type="dxa"/>
        <w:jc w:val="center"/>
        <w:tblLook w:val="04A0" w:firstRow="1" w:lastRow="0" w:firstColumn="1" w:lastColumn="0" w:noHBand="0" w:noVBand="1"/>
      </w:tblPr>
      <w:tblGrid>
        <w:gridCol w:w="1965"/>
        <w:gridCol w:w="1980"/>
        <w:gridCol w:w="1810"/>
        <w:gridCol w:w="1710"/>
      </w:tblGrid>
      <w:tr w:rsidR="006C763C" w14:paraId="5D14EF2D" w14:textId="77777777" w:rsidTr="003105FF">
        <w:trPr>
          <w:trHeight w:val="300"/>
          <w:jc w:val="center"/>
        </w:trPr>
        <w:tc>
          <w:tcPr>
            <w:tcW w:w="19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334E270" w14:textId="77777777" w:rsidR="006C763C" w:rsidRDefault="006C763C" w:rsidP="008A4179">
            <w:pPr>
              <w:jc w:val="left"/>
              <w:rPr>
                <w:rFonts w:eastAsia="Times New Roman" w:cs="Times New Roman"/>
                <w:sz w:val="18"/>
                <w:szCs w:val="18"/>
                <w:lang w:val="en-GB" w:eastAsia="en-GB"/>
              </w:rPr>
            </w:pPr>
            <w:r>
              <w:rPr>
                <w:rFonts w:eastAsia="Times New Roman" w:cs="Times New Roman"/>
                <w:sz w:val="18"/>
                <w:szCs w:val="18"/>
                <w:lang w:val="en-GB" w:eastAsia="en-GB"/>
              </w:rPr>
              <w:t>Market</w:t>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EDFB57C" w14:textId="77777777" w:rsidR="006C763C" w:rsidRDefault="006C763C"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No advance payment</w:t>
            </w:r>
          </w:p>
        </w:tc>
        <w:tc>
          <w:tcPr>
            <w:tcW w:w="1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74224E0" w14:textId="77777777" w:rsidR="006C763C" w:rsidRDefault="006C763C"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Advance payment requested</w:t>
            </w:r>
          </w:p>
        </w:tc>
        <w:tc>
          <w:tcPr>
            <w:tcW w:w="1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F8D5C26" w14:textId="2BFFACEA" w:rsidR="006C763C" w:rsidRDefault="006C763C"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 xml:space="preserve">Average </w:t>
            </w:r>
            <w:r w:rsidR="0022042A">
              <w:rPr>
                <w:rFonts w:eastAsia="Times New Roman" w:cs="Times New Roman"/>
                <w:b/>
                <w:bCs/>
                <w:color w:val="000000"/>
                <w:sz w:val="18"/>
                <w:szCs w:val="18"/>
                <w:lang w:val="en-GB" w:eastAsia="en-GB"/>
              </w:rPr>
              <w:t>m</w:t>
            </w:r>
            <w:r>
              <w:rPr>
                <w:rFonts w:eastAsia="Times New Roman" w:cs="Times New Roman"/>
                <w:b/>
                <w:bCs/>
                <w:color w:val="000000"/>
                <w:sz w:val="18"/>
                <w:szCs w:val="18"/>
                <w:lang w:val="en-GB" w:eastAsia="en-GB"/>
              </w:rPr>
              <w:t>ont</w:t>
            </w:r>
            <w:r>
              <w:rPr>
                <w:rFonts w:eastAsia="Times New Roman" w:cs="Times New Roman"/>
                <w:b/>
                <w:bCs/>
                <w:color w:val="000000"/>
                <w:sz w:val="18"/>
                <w:szCs w:val="18"/>
                <w:lang w:val="en-GB" w:eastAsia="en-GB"/>
              </w:rPr>
              <w:t>hs of advance payment</w:t>
            </w:r>
          </w:p>
        </w:tc>
      </w:tr>
      <w:tr w:rsidR="006C763C" w14:paraId="31A4DC7B" w14:textId="77777777" w:rsidTr="003105FF">
        <w:trPr>
          <w:trHeight w:val="300"/>
          <w:jc w:val="center"/>
        </w:trPr>
        <w:tc>
          <w:tcPr>
            <w:tcW w:w="19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728753B" w14:textId="77777777" w:rsidR="006C763C" w:rsidRDefault="006C763C" w:rsidP="008A4179">
            <w:pPr>
              <w:jc w:val="left"/>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Jalalabad urban area</w:t>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62610C8" w14:textId="77777777" w:rsidR="006C763C" w:rsidRDefault="006C763C"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59.29%</w:t>
            </w:r>
          </w:p>
        </w:tc>
        <w:tc>
          <w:tcPr>
            <w:tcW w:w="1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D5E92E8" w14:textId="77777777" w:rsidR="006C763C" w:rsidRDefault="006C763C"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40.71%</w:t>
            </w:r>
          </w:p>
        </w:tc>
        <w:tc>
          <w:tcPr>
            <w:tcW w:w="1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36CEB5" w14:textId="77777777" w:rsidR="006C763C" w:rsidRDefault="006C763C" w:rsidP="008A4179">
            <w:pPr>
              <w:jc w:val="center"/>
              <w:rPr>
                <w:rFonts w:eastAsia="Times New Roman" w:cs="Times New Roman"/>
                <w:b/>
                <w:bCs/>
                <w:color w:val="000000"/>
                <w:sz w:val="18"/>
                <w:szCs w:val="18"/>
                <w:lang w:val="en-GB" w:eastAsia="en-GB"/>
              </w:rPr>
            </w:pPr>
            <w:r>
              <w:rPr>
                <w:b/>
                <w:bCs/>
                <w:color w:val="000000"/>
                <w:sz w:val="18"/>
                <w:szCs w:val="18"/>
              </w:rPr>
              <w:t>3.9</w:t>
            </w:r>
          </w:p>
        </w:tc>
      </w:tr>
      <w:tr w:rsidR="006C763C" w14:paraId="3168B8A2" w14:textId="77777777" w:rsidTr="003105FF">
        <w:trPr>
          <w:trHeight w:val="300"/>
          <w:jc w:val="center"/>
        </w:trPr>
        <w:tc>
          <w:tcPr>
            <w:tcW w:w="19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CAB35A6" w14:textId="77777777" w:rsidR="006C763C" w:rsidRDefault="006C763C" w:rsidP="008A4179">
            <w:pPr>
              <w:ind w:firstLineChars="100" w:firstLine="180"/>
              <w:jc w:val="left"/>
              <w:rPr>
                <w:rFonts w:eastAsia="Times New Roman" w:cs="Times New Roman"/>
                <w:color w:val="000000"/>
                <w:sz w:val="18"/>
                <w:szCs w:val="18"/>
                <w:lang w:val="en-GB" w:eastAsia="en-GB"/>
              </w:rPr>
            </w:pPr>
            <w:r>
              <w:rPr>
                <w:rFonts w:eastAsia="Times New Roman" w:cs="Times New Roman"/>
                <w:color w:val="000000"/>
                <w:sz w:val="18"/>
                <w:szCs w:val="18"/>
                <w:lang w:val="en-GB" w:eastAsia="en-GB"/>
              </w:rPr>
              <w:t>Jalalabad</w:t>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F35E869" w14:textId="77777777" w:rsidR="006C763C" w:rsidRDefault="006C763C"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49.28%</w:t>
            </w:r>
          </w:p>
        </w:tc>
        <w:tc>
          <w:tcPr>
            <w:tcW w:w="1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221EC73" w14:textId="77777777" w:rsidR="006C763C" w:rsidRDefault="006C763C"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50.72%</w:t>
            </w:r>
          </w:p>
        </w:tc>
        <w:tc>
          <w:tcPr>
            <w:tcW w:w="1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A78A542" w14:textId="77777777" w:rsidR="006C763C" w:rsidRDefault="006C763C" w:rsidP="008A4179">
            <w:pPr>
              <w:jc w:val="center"/>
              <w:rPr>
                <w:rFonts w:eastAsia="Times New Roman" w:cs="Times New Roman"/>
                <w:color w:val="000000"/>
                <w:sz w:val="18"/>
                <w:szCs w:val="18"/>
                <w:lang w:val="en-GB" w:eastAsia="en-GB"/>
              </w:rPr>
            </w:pPr>
            <w:r>
              <w:rPr>
                <w:color w:val="000000"/>
                <w:sz w:val="18"/>
                <w:szCs w:val="18"/>
              </w:rPr>
              <w:t>4.0</w:t>
            </w:r>
          </w:p>
        </w:tc>
      </w:tr>
      <w:tr w:rsidR="006C763C" w14:paraId="5DEBCB84" w14:textId="77777777" w:rsidTr="003105FF">
        <w:trPr>
          <w:trHeight w:val="300"/>
          <w:jc w:val="center"/>
        </w:trPr>
        <w:tc>
          <w:tcPr>
            <w:tcW w:w="19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97FFFA9" w14:textId="77777777" w:rsidR="006C763C" w:rsidRDefault="006C763C" w:rsidP="008A4179">
            <w:pPr>
              <w:ind w:firstLineChars="100" w:firstLine="180"/>
              <w:jc w:val="left"/>
              <w:rPr>
                <w:rFonts w:eastAsia="Times New Roman" w:cs="Times New Roman"/>
                <w:color w:val="000000"/>
                <w:sz w:val="18"/>
                <w:szCs w:val="18"/>
                <w:lang w:val="en-GB" w:eastAsia="en-GB"/>
              </w:rPr>
            </w:pPr>
            <w:r>
              <w:rPr>
                <w:rFonts w:eastAsia="Times New Roman" w:cs="Times New Roman"/>
                <w:color w:val="000000"/>
                <w:sz w:val="18"/>
                <w:szCs w:val="18"/>
                <w:lang w:val="en-GB" w:eastAsia="en-GB"/>
              </w:rPr>
              <w:t>Behsud</w:t>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E7FC3F2" w14:textId="77777777" w:rsidR="006C763C" w:rsidRDefault="006C763C"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80.17%</w:t>
            </w:r>
          </w:p>
        </w:tc>
        <w:tc>
          <w:tcPr>
            <w:tcW w:w="1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68CF4AD" w14:textId="77777777" w:rsidR="006C763C" w:rsidRDefault="006C763C"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19.83%</w:t>
            </w:r>
          </w:p>
        </w:tc>
        <w:tc>
          <w:tcPr>
            <w:tcW w:w="1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89381EA" w14:textId="77777777" w:rsidR="006C763C" w:rsidRDefault="006C763C" w:rsidP="008A4179">
            <w:pPr>
              <w:jc w:val="center"/>
              <w:rPr>
                <w:rFonts w:eastAsia="Times New Roman" w:cs="Times New Roman"/>
                <w:color w:val="000000"/>
                <w:sz w:val="18"/>
                <w:szCs w:val="18"/>
                <w:lang w:val="en-GB" w:eastAsia="en-GB"/>
              </w:rPr>
            </w:pPr>
            <w:r>
              <w:rPr>
                <w:color w:val="000000"/>
                <w:sz w:val="18"/>
                <w:szCs w:val="18"/>
              </w:rPr>
              <w:t>3.4</w:t>
            </w:r>
          </w:p>
        </w:tc>
      </w:tr>
      <w:tr w:rsidR="006C763C" w14:paraId="41782351" w14:textId="77777777" w:rsidTr="003105FF">
        <w:trPr>
          <w:trHeight w:val="300"/>
          <w:jc w:val="center"/>
        </w:trPr>
        <w:tc>
          <w:tcPr>
            <w:tcW w:w="19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9EB7B2B" w14:textId="77777777" w:rsidR="006C763C" w:rsidRDefault="006C763C" w:rsidP="008A4179">
            <w:pPr>
              <w:ind w:firstLineChars="100" w:firstLine="180"/>
              <w:jc w:val="left"/>
              <w:rPr>
                <w:rFonts w:eastAsia="Times New Roman" w:cs="Times New Roman"/>
                <w:color w:val="000000"/>
                <w:sz w:val="18"/>
                <w:szCs w:val="18"/>
                <w:lang w:val="en-GB" w:eastAsia="en-GB"/>
              </w:rPr>
            </w:pPr>
            <w:r>
              <w:rPr>
                <w:rFonts w:eastAsia="Times New Roman" w:cs="Times New Roman"/>
                <w:color w:val="000000"/>
                <w:sz w:val="18"/>
                <w:szCs w:val="18"/>
                <w:lang w:val="en-GB" w:eastAsia="en-GB"/>
              </w:rPr>
              <w:t>Surkhrod</w:t>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9E0EFE6" w14:textId="77777777" w:rsidR="006C763C" w:rsidRDefault="006C763C"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60.74%</w:t>
            </w:r>
          </w:p>
        </w:tc>
        <w:tc>
          <w:tcPr>
            <w:tcW w:w="1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56004C6" w14:textId="77777777" w:rsidR="006C763C" w:rsidRDefault="006C763C" w:rsidP="008A4179">
            <w:pPr>
              <w:jc w:val="center"/>
              <w:rPr>
                <w:rFonts w:eastAsia="Times New Roman" w:cs="Times New Roman"/>
                <w:color w:val="000000"/>
                <w:sz w:val="18"/>
                <w:szCs w:val="18"/>
                <w:lang w:val="en-GB" w:eastAsia="en-GB"/>
              </w:rPr>
            </w:pPr>
            <w:r>
              <w:rPr>
                <w:rFonts w:eastAsia="Times New Roman" w:cs="Times New Roman"/>
                <w:color w:val="000000"/>
                <w:sz w:val="18"/>
                <w:szCs w:val="18"/>
                <w:lang w:val="en-GB" w:eastAsia="en-GB"/>
              </w:rPr>
              <w:t>39.26%</w:t>
            </w:r>
          </w:p>
        </w:tc>
        <w:tc>
          <w:tcPr>
            <w:tcW w:w="1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FA3FEF1" w14:textId="77777777" w:rsidR="006C763C" w:rsidRDefault="006C763C" w:rsidP="008A4179">
            <w:pPr>
              <w:jc w:val="center"/>
              <w:rPr>
                <w:rFonts w:eastAsia="Times New Roman" w:cs="Times New Roman"/>
                <w:color w:val="000000"/>
                <w:sz w:val="18"/>
                <w:szCs w:val="18"/>
                <w:lang w:val="en-GB" w:eastAsia="en-GB"/>
              </w:rPr>
            </w:pPr>
            <w:r>
              <w:rPr>
                <w:color w:val="000000"/>
                <w:sz w:val="18"/>
                <w:szCs w:val="18"/>
              </w:rPr>
              <w:t>3.9</w:t>
            </w:r>
          </w:p>
        </w:tc>
      </w:tr>
      <w:tr w:rsidR="006C763C" w14:paraId="79B74723" w14:textId="77777777" w:rsidTr="003105FF">
        <w:trPr>
          <w:trHeight w:val="300"/>
          <w:jc w:val="center"/>
        </w:trPr>
        <w:tc>
          <w:tcPr>
            <w:tcW w:w="19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8EFA402" w14:textId="77777777" w:rsidR="006C763C" w:rsidRDefault="006C763C" w:rsidP="008A4179">
            <w:pPr>
              <w:jc w:val="left"/>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Chamtala</w:t>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C73A270" w14:textId="77777777" w:rsidR="006C763C" w:rsidRDefault="006C763C"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68.63%</w:t>
            </w:r>
          </w:p>
        </w:tc>
        <w:tc>
          <w:tcPr>
            <w:tcW w:w="1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B2B87FD" w14:textId="77777777" w:rsidR="006C763C" w:rsidRDefault="006C763C"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31.37%</w:t>
            </w:r>
          </w:p>
        </w:tc>
        <w:tc>
          <w:tcPr>
            <w:tcW w:w="1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00CE4EE" w14:textId="77777777" w:rsidR="006C763C" w:rsidRDefault="006C763C" w:rsidP="008A4179">
            <w:pPr>
              <w:jc w:val="center"/>
              <w:rPr>
                <w:rFonts w:eastAsia="Times New Roman" w:cs="Times New Roman"/>
                <w:b/>
                <w:bCs/>
                <w:color w:val="000000"/>
                <w:sz w:val="18"/>
                <w:szCs w:val="18"/>
                <w:lang w:val="en-GB" w:eastAsia="en-GB"/>
              </w:rPr>
            </w:pPr>
            <w:r>
              <w:rPr>
                <w:b/>
                <w:bCs/>
                <w:color w:val="000000"/>
                <w:sz w:val="18"/>
                <w:szCs w:val="18"/>
              </w:rPr>
              <w:t>1.6</w:t>
            </w:r>
          </w:p>
        </w:tc>
      </w:tr>
      <w:tr w:rsidR="006C763C" w14:paraId="0219C263" w14:textId="77777777" w:rsidTr="003105FF">
        <w:trPr>
          <w:trHeight w:val="300"/>
          <w:jc w:val="center"/>
        </w:trPr>
        <w:tc>
          <w:tcPr>
            <w:tcW w:w="19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7311144" w14:textId="77777777" w:rsidR="006C763C" w:rsidRDefault="006C763C" w:rsidP="008A4179">
            <w:pPr>
              <w:jc w:val="left"/>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Kabul camp</w:t>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00700173" w14:textId="77777777" w:rsidR="006C763C" w:rsidRDefault="006C763C"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84.17%</w:t>
            </w:r>
          </w:p>
        </w:tc>
        <w:tc>
          <w:tcPr>
            <w:tcW w:w="1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3F43E8A" w14:textId="77777777" w:rsidR="006C763C" w:rsidRDefault="006C763C"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15.83%</w:t>
            </w:r>
          </w:p>
        </w:tc>
        <w:tc>
          <w:tcPr>
            <w:tcW w:w="1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C1022F4" w14:textId="77777777" w:rsidR="006C763C" w:rsidRDefault="006C763C" w:rsidP="008A4179">
            <w:pPr>
              <w:jc w:val="center"/>
              <w:rPr>
                <w:rFonts w:eastAsia="Times New Roman" w:cs="Times New Roman"/>
                <w:b/>
                <w:bCs/>
                <w:color w:val="000000"/>
                <w:sz w:val="18"/>
                <w:szCs w:val="18"/>
                <w:lang w:val="en-GB" w:eastAsia="en-GB"/>
              </w:rPr>
            </w:pPr>
            <w:r>
              <w:rPr>
                <w:b/>
                <w:bCs/>
                <w:color w:val="000000"/>
                <w:sz w:val="18"/>
                <w:szCs w:val="18"/>
              </w:rPr>
              <w:t>3.3</w:t>
            </w:r>
          </w:p>
        </w:tc>
      </w:tr>
      <w:tr w:rsidR="006C763C" w14:paraId="555FB9CC" w14:textId="77777777" w:rsidTr="003105FF">
        <w:trPr>
          <w:trHeight w:val="300"/>
          <w:jc w:val="center"/>
        </w:trPr>
        <w:tc>
          <w:tcPr>
            <w:tcW w:w="19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3142F7FA" w14:textId="77777777" w:rsidR="006C763C" w:rsidRDefault="006C763C" w:rsidP="008A4179">
            <w:pPr>
              <w:jc w:val="left"/>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Bar Shegi</w:t>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71300B82" w14:textId="77777777" w:rsidR="006C763C" w:rsidRDefault="006C763C"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87.50%</w:t>
            </w:r>
          </w:p>
        </w:tc>
        <w:tc>
          <w:tcPr>
            <w:tcW w:w="1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B367B54" w14:textId="77777777" w:rsidR="006C763C" w:rsidRDefault="006C763C"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12.50%</w:t>
            </w:r>
          </w:p>
        </w:tc>
        <w:tc>
          <w:tcPr>
            <w:tcW w:w="1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4261E28" w14:textId="77777777" w:rsidR="006C763C" w:rsidRDefault="006C763C" w:rsidP="008A4179">
            <w:pPr>
              <w:jc w:val="center"/>
              <w:rPr>
                <w:rFonts w:eastAsia="Times New Roman" w:cs="Times New Roman"/>
                <w:b/>
                <w:bCs/>
                <w:color w:val="000000"/>
                <w:sz w:val="18"/>
                <w:szCs w:val="18"/>
                <w:lang w:val="en-GB" w:eastAsia="en-GB"/>
              </w:rPr>
            </w:pPr>
            <w:r>
              <w:rPr>
                <w:b/>
                <w:bCs/>
                <w:color w:val="000000"/>
                <w:sz w:val="18"/>
                <w:szCs w:val="18"/>
              </w:rPr>
              <w:t>6.5</w:t>
            </w:r>
          </w:p>
        </w:tc>
      </w:tr>
      <w:tr w:rsidR="006C763C" w14:paraId="7A0105A8" w14:textId="77777777" w:rsidTr="003105FF">
        <w:trPr>
          <w:trHeight w:val="300"/>
          <w:jc w:val="center"/>
        </w:trPr>
        <w:tc>
          <w:tcPr>
            <w:tcW w:w="19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5467BC12" w14:textId="77777777" w:rsidR="006C763C" w:rsidRDefault="006C763C" w:rsidP="008A4179">
            <w:pPr>
              <w:jc w:val="left"/>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Harchar</w:t>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2AA6ED23" w14:textId="77777777" w:rsidR="006C763C" w:rsidRDefault="006C763C"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76.19%</w:t>
            </w:r>
          </w:p>
        </w:tc>
        <w:tc>
          <w:tcPr>
            <w:tcW w:w="1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0E40F16" w14:textId="77777777" w:rsidR="006C763C" w:rsidRDefault="006C763C"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23.81%</w:t>
            </w:r>
          </w:p>
        </w:tc>
        <w:tc>
          <w:tcPr>
            <w:tcW w:w="1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823A1C0" w14:textId="77777777" w:rsidR="006C763C" w:rsidRDefault="006C763C" w:rsidP="008A4179">
            <w:pPr>
              <w:jc w:val="center"/>
              <w:rPr>
                <w:rFonts w:eastAsia="Times New Roman" w:cs="Times New Roman"/>
                <w:b/>
                <w:bCs/>
                <w:color w:val="000000"/>
                <w:sz w:val="18"/>
                <w:szCs w:val="18"/>
                <w:lang w:val="en-GB" w:eastAsia="en-GB"/>
              </w:rPr>
            </w:pPr>
            <w:r>
              <w:rPr>
                <w:b/>
                <w:bCs/>
                <w:color w:val="000000"/>
                <w:sz w:val="18"/>
                <w:szCs w:val="18"/>
              </w:rPr>
              <w:t>8.5</w:t>
            </w:r>
          </w:p>
        </w:tc>
      </w:tr>
      <w:tr w:rsidR="006C763C" w14:paraId="5CC8576D" w14:textId="77777777" w:rsidTr="003105FF">
        <w:trPr>
          <w:trHeight w:val="300"/>
          <w:jc w:val="center"/>
        </w:trPr>
        <w:tc>
          <w:tcPr>
            <w:tcW w:w="1965"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1443061B" w14:textId="77777777" w:rsidR="006C763C" w:rsidRDefault="006C763C" w:rsidP="008A4179">
            <w:pPr>
              <w:jc w:val="left"/>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Grand Total</w:t>
            </w:r>
          </w:p>
        </w:tc>
        <w:tc>
          <w:tcPr>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6A4DE7E3" w14:textId="77777777" w:rsidR="006C763C" w:rsidRDefault="006C763C"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64.84%</w:t>
            </w:r>
          </w:p>
        </w:tc>
        <w:tc>
          <w:tcPr>
            <w:tcW w:w="18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noWrap/>
            <w:vAlign w:val="center"/>
            <w:hideMark/>
          </w:tcPr>
          <w:p w14:paraId="49C5E481" w14:textId="77777777" w:rsidR="006C763C" w:rsidRDefault="006C763C" w:rsidP="008A4179">
            <w:pPr>
              <w:jc w:val="center"/>
              <w:rPr>
                <w:rFonts w:eastAsia="Times New Roman" w:cs="Times New Roman"/>
                <w:b/>
                <w:bCs/>
                <w:color w:val="000000"/>
                <w:sz w:val="18"/>
                <w:szCs w:val="18"/>
                <w:lang w:val="en-GB" w:eastAsia="en-GB"/>
              </w:rPr>
            </w:pPr>
            <w:r>
              <w:rPr>
                <w:rFonts w:eastAsia="Times New Roman" w:cs="Times New Roman"/>
                <w:b/>
                <w:bCs/>
                <w:color w:val="000000"/>
                <w:sz w:val="18"/>
                <w:szCs w:val="18"/>
                <w:lang w:val="en-GB" w:eastAsia="en-GB"/>
              </w:rPr>
              <w:t>35.16%</w:t>
            </w:r>
          </w:p>
        </w:tc>
        <w:tc>
          <w:tcPr>
            <w:tcW w:w="171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7DBF810" w14:textId="77777777" w:rsidR="006C763C" w:rsidRDefault="006C763C" w:rsidP="008A4179">
            <w:pPr>
              <w:jc w:val="center"/>
              <w:rPr>
                <w:rFonts w:eastAsia="Times New Roman" w:cs="Times New Roman"/>
                <w:b/>
                <w:bCs/>
                <w:color w:val="000000"/>
                <w:sz w:val="18"/>
                <w:szCs w:val="18"/>
                <w:lang w:val="en-GB" w:eastAsia="en-GB"/>
              </w:rPr>
            </w:pPr>
            <w:r>
              <w:rPr>
                <w:b/>
                <w:bCs/>
                <w:color w:val="000000"/>
                <w:sz w:val="18"/>
                <w:szCs w:val="18"/>
              </w:rPr>
              <w:t>3.8</w:t>
            </w:r>
          </w:p>
        </w:tc>
      </w:tr>
    </w:tbl>
    <w:p w14:paraId="01E54661" w14:textId="3C6A2965" w:rsidR="006C763C" w:rsidRDefault="006C763C" w:rsidP="00194DB7">
      <w:pPr>
        <w:rPr>
          <w:rFonts w:cstheme="minorHAnsi"/>
        </w:rPr>
      </w:pPr>
    </w:p>
    <w:p w14:paraId="1BFFE50E" w14:textId="77777777" w:rsidR="00194DB7" w:rsidRPr="00194DB7" w:rsidRDefault="00194DB7" w:rsidP="00194DB7">
      <w:pPr>
        <w:pBdr>
          <w:top w:val="single" w:sz="4" w:space="1" w:color="auto"/>
          <w:left w:val="single" w:sz="4" w:space="4" w:color="auto"/>
          <w:bottom w:val="single" w:sz="4" w:space="1" w:color="auto"/>
          <w:right w:val="single" w:sz="4" w:space="4" w:color="auto"/>
        </w:pBdr>
        <w:rPr>
          <w:sz w:val="10"/>
        </w:rPr>
      </w:pPr>
    </w:p>
    <w:p w14:paraId="4562B0DC" w14:textId="5AAF7B70" w:rsidR="00194DB7" w:rsidRDefault="006C763C" w:rsidP="00194DB7">
      <w:pPr>
        <w:pBdr>
          <w:top w:val="single" w:sz="4" w:space="1" w:color="auto"/>
          <w:left w:val="single" w:sz="4" w:space="4" w:color="auto"/>
          <w:bottom w:val="single" w:sz="4" w:space="1" w:color="auto"/>
          <w:right w:val="single" w:sz="4" w:space="4" w:color="auto"/>
        </w:pBdr>
      </w:pPr>
      <w:r>
        <w:t xml:space="preserve">Considering that </w:t>
      </w:r>
      <w:r>
        <w:t xml:space="preserve">advance payment is acceptable and common practice, it would be recommended that beneficiaries receive the equivalent of 3 months of rent at once. </w:t>
      </w:r>
    </w:p>
    <w:p w14:paraId="770216F6" w14:textId="0824986E" w:rsidR="006C763C" w:rsidRPr="00402F95" w:rsidRDefault="006C763C" w:rsidP="00194DB7">
      <w:pPr>
        <w:pBdr>
          <w:top w:val="single" w:sz="4" w:space="1" w:color="auto"/>
          <w:left w:val="single" w:sz="4" w:space="4" w:color="auto"/>
          <w:bottom w:val="single" w:sz="4" w:space="1" w:color="auto"/>
          <w:right w:val="single" w:sz="4" w:space="4" w:color="auto"/>
        </w:pBdr>
        <w:rPr>
          <w:rFonts w:cstheme="minorHAnsi"/>
          <w:sz w:val="18"/>
        </w:rPr>
      </w:pPr>
    </w:p>
    <w:p w14:paraId="2637E277" w14:textId="37AF1C99" w:rsidR="006C763C" w:rsidRDefault="006C763C" w:rsidP="00194DB7">
      <w:pPr>
        <w:pBdr>
          <w:top w:val="single" w:sz="4" w:space="1" w:color="auto"/>
          <w:left w:val="single" w:sz="4" w:space="4" w:color="auto"/>
          <w:bottom w:val="single" w:sz="4" w:space="1" w:color="auto"/>
          <w:right w:val="single" w:sz="4" w:space="4" w:color="auto"/>
        </w:pBdr>
        <w:rPr>
          <w:rFonts w:cstheme="minorHAnsi"/>
        </w:rPr>
      </w:pPr>
      <w:r w:rsidRPr="00113347">
        <w:rPr>
          <w:rFonts w:cstheme="minorHAnsi"/>
        </w:rPr>
        <w:t xml:space="preserve">Based on the indirect data regarding vacancy rates in different markets </w:t>
      </w:r>
      <w:r w:rsidRPr="003105FF">
        <w:rPr>
          <w:rFonts w:cstheme="minorHAnsi"/>
        </w:rPr>
        <w:t>(</w:t>
      </w:r>
      <w:r w:rsidRPr="003105FF">
        <w:rPr>
          <w:rFonts w:cstheme="minorHAnsi"/>
        </w:rPr>
        <w:fldChar w:fldCharType="begin"/>
      </w:r>
      <w:r w:rsidRPr="003105FF">
        <w:rPr>
          <w:rFonts w:cstheme="minorHAnsi"/>
        </w:rPr>
        <w:instrText xml:space="preserve"> REF _Ref522615222 \h </w:instrText>
      </w:r>
      <w:r w:rsidR="00B10F22" w:rsidRPr="003105FF">
        <w:rPr>
          <w:rFonts w:cstheme="minorHAnsi"/>
        </w:rPr>
        <w:instrText xml:space="preserve"> \* MERGEFORMAT </w:instrText>
      </w:r>
      <w:r w:rsidRPr="00F8558C">
        <w:rPr>
          <w:rFonts w:cstheme="minorHAnsi"/>
        </w:rPr>
      </w:r>
      <w:r w:rsidRPr="003105FF">
        <w:rPr>
          <w:rFonts w:cstheme="minorHAnsi"/>
        </w:rPr>
        <w:fldChar w:fldCharType="separate"/>
      </w:r>
      <w:r w:rsidR="00113347" w:rsidRPr="003105FF">
        <w:rPr>
          <w:rFonts w:cstheme="minorHAnsi"/>
          <w:b/>
          <w:bCs/>
        </w:rPr>
        <w:fldChar w:fldCharType="begin"/>
      </w:r>
      <w:r w:rsidR="00113347" w:rsidRPr="003105FF">
        <w:rPr>
          <w:rFonts w:cstheme="minorHAnsi"/>
          <w:b/>
          <w:bCs/>
        </w:rPr>
        <w:instrText xml:space="preserve"> REF _Ref523391079 \h </w:instrText>
      </w:r>
      <w:r w:rsidR="00113347">
        <w:rPr>
          <w:rFonts w:cstheme="minorHAnsi"/>
          <w:b/>
          <w:bCs/>
        </w:rPr>
        <w:instrText xml:space="preserve"> \* MERGEFORMAT </w:instrText>
      </w:r>
      <w:r w:rsidR="00113347" w:rsidRPr="00F8558C">
        <w:rPr>
          <w:rFonts w:cstheme="minorHAnsi"/>
          <w:b/>
          <w:bCs/>
        </w:rPr>
      </w:r>
      <w:r w:rsidR="00113347" w:rsidRPr="003105FF">
        <w:rPr>
          <w:rFonts w:cstheme="minorHAnsi"/>
          <w:b/>
          <w:bCs/>
        </w:rPr>
        <w:fldChar w:fldCharType="separate"/>
      </w:r>
      <w:r w:rsidR="00113347" w:rsidRPr="00113347">
        <w:t xml:space="preserve">Table </w:t>
      </w:r>
      <w:r w:rsidR="00113347" w:rsidRPr="00113347">
        <w:rPr>
          <w:noProof/>
        </w:rPr>
        <w:t>5</w:t>
      </w:r>
      <w:r w:rsidR="00113347" w:rsidRPr="003105FF">
        <w:rPr>
          <w:rFonts w:cstheme="minorHAnsi"/>
          <w:b/>
          <w:bCs/>
        </w:rPr>
        <w:fldChar w:fldCharType="end"/>
      </w:r>
      <w:r w:rsidR="009001C0" w:rsidRPr="003105FF">
        <w:rPr>
          <w:rFonts w:cstheme="minorHAnsi"/>
          <w:b/>
          <w:bCs/>
        </w:rPr>
        <w:t>.</w:t>
      </w:r>
      <w:r w:rsidRPr="003105FF">
        <w:rPr>
          <w:rFonts w:cstheme="minorHAnsi"/>
        </w:rPr>
        <w:fldChar w:fldCharType="end"/>
      </w:r>
      <w:r w:rsidRPr="003105FF">
        <w:rPr>
          <w:rFonts w:cstheme="minorHAnsi"/>
        </w:rPr>
        <w:t>)</w:t>
      </w:r>
      <w:r w:rsidRPr="00113347">
        <w:rPr>
          <w:rFonts w:cstheme="minorHAnsi"/>
        </w:rPr>
        <w:t xml:space="preserve"> and</w:t>
      </w:r>
      <w:r>
        <w:rPr>
          <w:rFonts w:cstheme="minorHAnsi"/>
        </w:rPr>
        <w:t xml:space="preserve"> variation between markets, it would appear that most markets would be able to absorb limited Shelter cash assistance</w:t>
      </w:r>
      <w:r w:rsidR="00113347">
        <w:rPr>
          <w:rFonts w:cstheme="minorHAnsi"/>
        </w:rPr>
        <w:t>. H</w:t>
      </w:r>
      <w:r>
        <w:rPr>
          <w:rFonts w:cstheme="minorHAnsi"/>
        </w:rPr>
        <w:t xml:space="preserve">owever, since, for instance in Jalalabad district the vacancy is already twice as low as in other </w:t>
      </w:r>
      <w:r w:rsidRPr="0068076D">
        <w:rPr>
          <w:rFonts w:cstheme="minorHAnsi"/>
        </w:rPr>
        <w:t xml:space="preserve">markets, </w:t>
      </w:r>
      <w:r w:rsidRPr="006B5182">
        <w:rPr>
          <w:rFonts w:cstheme="minorHAnsi"/>
        </w:rPr>
        <w:t xml:space="preserve">it would be recommended that the CfR programme </w:t>
      </w:r>
      <w:r w:rsidR="00113347">
        <w:rPr>
          <w:rFonts w:cstheme="minorHAnsi"/>
        </w:rPr>
        <w:t xml:space="preserve">should </w:t>
      </w:r>
      <w:r w:rsidRPr="006B5182">
        <w:rPr>
          <w:rFonts w:cstheme="minorHAnsi"/>
        </w:rPr>
        <w:t>focus on other markets</w:t>
      </w:r>
      <w:r w:rsidRPr="0068076D">
        <w:rPr>
          <w:rFonts w:cstheme="minorHAnsi"/>
        </w:rPr>
        <w:t xml:space="preserve"> (other locations outside the metropolitan area </w:t>
      </w:r>
      <w:r w:rsidRPr="00607ED4">
        <w:rPr>
          <w:rFonts w:cstheme="minorHAnsi"/>
        </w:rPr>
        <w:t>–</w:t>
      </w:r>
      <w:r w:rsidRPr="005B1455">
        <w:rPr>
          <w:rFonts w:cstheme="minorHAnsi"/>
        </w:rPr>
        <w:t xml:space="preserve"> for as long the target communities count with basic services and livelihood opportunities). The monitoring of the implementati</w:t>
      </w:r>
      <w:r w:rsidRPr="005B1455">
        <w:rPr>
          <w:rFonts w:cstheme="minorHAnsi"/>
        </w:rPr>
        <w:t>on</w:t>
      </w:r>
      <w:r>
        <w:rPr>
          <w:rFonts w:cstheme="minorHAnsi"/>
        </w:rPr>
        <w:t xml:space="preserve"> of a CfR programme will have to include a periodical market analysis, in order to be able to detect any market distortions. </w:t>
      </w:r>
    </w:p>
    <w:p w14:paraId="676ECDF2" w14:textId="77777777" w:rsidR="00194DB7" w:rsidRPr="00194DB7" w:rsidRDefault="00194DB7" w:rsidP="00194DB7">
      <w:pPr>
        <w:pBdr>
          <w:top w:val="single" w:sz="4" w:space="1" w:color="auto"/>
          <w:left w:val="single" w:sz="4" w:space="4" w:color="auto"/>
          <w:bottom w:val="single" w:sz="4" w:space="1" w:color="auto"/>
          <w:right w:val="single" w:sz="4" w:space="4" w:color="auto"/>
        </w:pBdr>
        <w:rPr>
          <w:rFonts w:cstheme="minorHAnsi"/>
          <w:sz w:val="12"/>
        </w:rPr>
      </w:pPr>
    </w:p>
    <w:p w14:paraId="6209AA51" w14:textId="77777777" w:rsidR="006C763C" w:rsidRDefault="006C763C" w:rsidP="006C763C">
      <w:pPr>
        <w:rPr>
          <w:rFonts w:cstheme="minorHAnsi"/>
        </w:rPr>
      </w:pPr>
    </w:p>
    <w:p w14:paraId="62358CE0" w14:textId="61ECB672" w:rsidR="009152F2" w:rsidRDefault="009152F2" w:rsidP="000F41F9">
      <w:pPr>
        <w:pStyle w:val="Heading2"/>
      </w:pPr>
      <w:bookmarkStart w:id="34" w:name="_Toc523407965"/>
      <w:r>
        <w:t xml:space="preserve">Role of Social Networks </w:t>
      </w:r>
      <w:r w:rsidR="000F41F9">
        <w:t>and Professionalization of the Rental Market</w:t>
      </w:r>
      <w:bookmarkEnd w:id="34"/>
    </w:p>
    <w:p w14:paraId="65123641" w14:textId="77777777" w:rsidR="00FA02D5" w:rsidRDefault="00FA02D5" w:rsidP="004B5609"/>
    <w:p w14:paraId="35024A3F" w14:textId="164A8C50" w:rsidR="00EE0CEB" w:rsidRDefault="0042797F" w:rsidP="0019575E">
      <w:r>
        <w:t>S</w:t>
      </w:r>
      <w:r w:rsidR="00813D8F">
        <w:t xml:space="preserve">ocial </w:t>
      </w:r>
      <w:r w:rsidR="00124A2E">
        <w:t xml:space="preserve">and family </w:t>
      </w:r>
      <w:r w:rsidR="00813D8F">
        <w:t>networks often may substitute for the lack of formal mechanisms</w:t>
      </w:r>
      <w:r w:rsidR="00124A2E">
        <w:t>, with relatives</w:t>
      </w:r>
      <w:r w:rsidR="00813D8F">
        <w:t xml:space="preserve"> </w:t>
      </w:r>
      <w:r w:rsidR="00124A2E">
        <w:t xml:space="preserve">providing </w:t>
      </w:r>
      <w:r w:rsidR="002C7E89">
        <w:t>significant support</w:t>
      </w:r>
      <w:r w:rsidR="00124A2E">
        <w:t xml:space="preserve"> hosting tenants</w:t>
      </w:r>
      <w:r w:rsidR="002C7E89">
        <w:t>. It</w:t>
      </w:r>
      <w:r w:rsidR="005739F0">
        <w:t xml:space="preserve"> appears</w:t>
      </w:r>
      <w:r w:rsidR="00813D8F">
        <w:t xml:space="preserve">, however, </w:t>
      </w:r>
      <w:r w:rsidR="005739F0">
        <w:t>that family connection</w:t>
      </w:r>
      <w:r w:rsidR="00575BF7">
        <w:t xml:space="preserve">s play </w:t>
      </w:r>
      <w:r w:rsidR="002C7E89">
        <w:t>rather</w:t>
      </w:r>
      <w:r w:rsidR="00575BF7">
        <w:t xml:space="preserve"> a small role</w:t>
      </w:r>
      <w:r w:rsidR="00124A2E">
        <w:t xml:space="preserve"> overall</w:t>
      </w:r>
      <w:r w:rsidR="00440A51">
        <w:t xml:space="preserve">: no more than 9.5% of </w:t>
      </w:r>
      <w:r w:rsidR="002C7E89">
        <w:t>HH</w:t>
      </w:r>
      <w:r w:rsidR="00440A51">
        <w:t>s are related to the landlord/owner</w:t>
      </w:r>
      <w:r w:rsidR="00813D8F">
        <w:t>. A</w:t>
      </w:r>
      <w:r w:rsidR="00440A51">
        <w:t xml:space="preserve">lthough the proportion varies, </w:t>
      </w:r>
      <w:r w:rsidR="00813D8F">
        <w:t xml:space="preserve">even in the most rural areas </w:t>
      </w:r>
      <w:r w:rsidR="00440A51">
        <w:t xml:space="preserve">it does not exceed </w:t>
      </w:r>
      <w:r w:rsidR="00F92ABC">
        <w:t>25%.</w:t>
      </w:r>
      <w:r w:rsidR="0019575E">
        <w:t xml:space="preserve"> </w:t>
      </w:r>
      <w:r w:rsidR="00F92ABC">
        <w:t>H</w:t>
      </w:r>
      <w:r w:rsidR="00EE0CEB">
        <w:t>ost community</w:t>
      </w:r>
      <w:r w:rsidR="00124A2E">
        <w:t xml:space="preserve"> HH</w:t>
      </w:r>
      <w:r w:rsidR="00EE0CEB">
        <w:t xml:space="preserve"> rent from relatives in 6.3% of cases, IDP in 10.3%, and returnees live with relatives most often, in 14.8% of cases. </w:t>
      </w:r>
    </w:p>
    <w:p w14:paraId="091EDC85" w14:textId="77777777" w:rsidR="00051068" w:rsidRDefault="00B23510" w:rsidP="0019575E">
      <w:r>
        <w:t xml:space="preserve">Since owners are related to tenants in less than one tenth of the cases, </w:t>
      </w:r>
      <w:r w:rsidR="00AA2212">
        <w:t>the</w:t>
      </w:r>
      <w:r>
        <w:t xml:space="preserve"> effects of this relationship on the market </w:t>
      </w:r>
      <w:r w:rsidR="005A0C3C">
        <w:t>are not very significant</w:t>
      </w:r>
      <w:r w:rsidR="00813D8F">
        <w:t xml:space="preserve">. Owners that are related to tenants are less likely to put the agreement in writing: only in 14% for related households, compared to 32% for unrelated. </w:t>
      </w:r>
    </w:p>
    <w:p w14:paraId="29789FC2" w14:textId="77777777" w:rsidR="00051068" w:rsidRDefault="00051068" w:rsidP="0019575E"/>
    <w:p w14:paraId="08B4E380" w14:textId="6FC23020" w:rsidR="00836B7A" w:rsidRDefault="00813D8F" w:rsidP="0019575E">
      <w:r>
        <w:t xml:space="preserve">When renting from a relative, the housing tents to be overcrowded more often than when they are unrelated, yet </w:t>
      </w:r>
      <w:r w:rsidR="000851EE">
        <w:t>the tenants are more satisfied with the arrangement and intend to stay over 6 months in 36% of case (compared to 25% for unrelated households)</w:t>
      </w:r>
      <w:r w:rsidR="00F67C01">
        <w:t>.</w:t>
      </w:r>
      <w:r w:rsidR="000851EE">
        <w:t xml:space="preserve"> </w:t>
      </w:r>
      <w:r w:rsidR="00836B7A">
        <w:t>A</w:t>
      </w:r>
      <w:r w:rsidR="0019575E">
        <w:t>verage rental price</w:t>
      </w:r>
      <w:r w:rsidR="00B23510">
        <w:t xml:space="preserve"> is </w:t>
      </w:r>
      <w:r w:rsidR="00F67C01">
        <w:t xml:space="preserve">also </w:t>
      </w:r>
      <w:r w:rsidR="00836B7A">
        <w:t xml:space="preserve">somewhat </w:t>
      </w:r>
      <w:r w:rsidR="0019575E">
        <w:t xml:space="preserve">lower for households </w:t>
      </w:r>
      <w:r>
        <w:t>renting from a relative</w:t>
      </w:r>
      <w:r w:rsidR="00836B7A">
        <w:t xml:space="preserve">: for different quality </w:t>
      </w:r>
      <w:r w:rsidR="005A0C3C">
        <w:t xml:space="preserve">and size </w:t>
      </w:r>
      <w:r w:rsidR="00836B7A">
        <w:t xml:space="preserve">of housing </w:t>
      </w:r>
      <w:r w:rsidR="000D465C">
        <w:t xml:space="preserve">this average rent </w:t>
      </w:r>
      <w:r w:rsidR="00836B7A">
        <w:t>varies from 70% (for</w:t>
      </w:r>
      <w:r w:rsidR="005A0C3C">
        <w:t xml:space="preserve"> 2 room</w:t>
      </w:r>
      <w:r w:rsidR="00836B7A">
        <w:t xml:space="preserve"> housing of </w:t>
      </w:r>
      <w:r w:rsidR="00AA2212">
        <w:t>“</w:t>
      </w:r>
      <w:r w:rsidR="000D465C">
        <w:t>extremely poor</w:t>
      </w:r>
      <w:r w:rsidR="00AA2212">
        <w:t>”</w:t>
      </w:r>
      <w:r w:rsidR="00836B7A">
        <w:t xml:space="preserve"> quality) to 97% (for </w:t>
      </w:r>
      <w:r w:rsidR="005A0C3C">
        <w:t xml:space="preserve">2 room unit </w:t>
      </w:r>
      <w:r w:rsidR="00836B7A">
        <w:t xml:space="preserve">of </w:t>
      </w:r>
      <w:r w:rsidR="00AA2212">
        <w:t>“</w:t>
      </w:r>
      <w:r w:rsidR="00836B7A">
        <w:t>fair</w:t>
      </w:r>
      <w:r w:rsidR="00AA2212">
        <w:t>”</w:t>
      </w:r>
      <w:r w:rsidR="00836B7A">
        <w:t xml:space="preserve"> quality) of the prices that non-relatives are charging</w:t>
      </w:r>
      <w:r w:rsidR="0019575E">
        <w:t>.</w:t>
      </w:r>
      <w:r w:rsidR="00836B7A">
        <w:t xml:space="preserve"> </w:t>
      </w:r>
      <w:r>
        <w:t>The advance payment is</w:t>
      </w:r>
      <w:r w:rsidR="00921B41">
        <w:t xml:space="preserve"> also</w:t>
      </w:r>
      <w:r>
        <w:t xml:space="preserve"> less common </w:t>
      </w:r>
      <w:r w:rsidR="005A0C3C">
        <w:t>(in 23% of cases, compared to 34% for non-related tenants)</w:t>
      </w:r>
      <w:r w:rsidR="005A0C3C">
        <w:rPr>
          <w:rStyle w:val="FootnoteReference"/>
        </w:rPr>
        <w:footnoteReference w:id="29"/>
      </w:r>
      <w:r w:rsidR="00AA2212">
        <w:t>.</w:t>
      </w:r>
    </w:p>
    <w:p w14:paraId="701F623C" w14:textId="7F0893BA" w:rsidR="00F37049" w:rsidRDefault="00F37049" w:rsidP="0019575E"/>
    <w:p w14:paraId="37BEC9CC" w14:textId="0C8B55BA" w:rsidR="003E3C53" w:rsidRDefault="00F37049" w:rsidP="0019575E">
      <w:r>
        <w:t xml:space="preserve">The survey of key informants, landlords and real estate brokers, </w:t>
      </w:r>
      <w:r w:rsidR="001B2357">
        <w:t xml:space="preserve">showed that almost a quarter, 23%, were renting to relatives. </w:t>
      </w:r>
      <w:r w:rsidR="00105C45">
        <w:t xml:space="preserve">Judging from the survey of key informants, </w:t>
      </w:r>
      <w:r w:rsidR="001B2357">
        <w:t xml:space="preserve">prices for rental apartments are usually lower when rented to relatives: on the average, the housing units </w:t>
      </w:r>
      <w:r w:rsidR="00A6464E">
        <w:t>rent is only</w:t>
      </w:r>
      <w:r w:rsidR="001B2357">
        <w:t xml:space="preserve"> </w:t>
      </w:r>
      <w:r w:rsidR="00053DDB">
        <w:t>77</w:t>
      </w:r>
      <w:r w:rsidR="001B2357">
        <w:t>%</w:t>
      </w:r>
      <w:r w:rsidR="00053DDB">
        <w:t xml:space="preserve"> of the price that non-relat</w:t>
      </w:r>
      <w:r w:rsidR="004A5C4A">
        <w:t xml:space="preserve">ed tenants </w:t>
      </w:r>
      <w:r w:rsidR="00053DDB">
        <w:t>have to pay.</w:t>
      </w:r>
    </w:p>
    <w:p w14:paraId="10305EDC" w14:textId="77777777" w:rsidR="008A5740" w:rsidRDefault="008A5740" w:rsidP="003E3C53"/>
    <w:p w14:paraId="5ECABF78" w14:textId="200FAA2E" w:rsidR="000D465C" w:rsidRDefault="008A5740" w:rsidP="003E3C53">
      <w:r>
        <w:t>Independently of family connections, r</w:t>
      </w:r>
      <w:r w:rsidR="003E3C53">
        <w:t>elationships between landlords/landladies and tenants are important for the success of a CfR programme</w:t>
      </w:r>
      <w:r w:rsidR="00DC5D10">
        <w:t>: t</w:t>
      </w:r>
      <w:r w:rsidR="003E3C53">
        <w:t>he experience</w:t>
      </w:r>
      <w:r w:rsidR="00DC5D10">
        <w:t>s</w:t>
      </w:r>
      <w:r w:rsidR="003E3C53">
        <w:t xml:space="preserve"> with CfR </w:t>
      </w:r>
      <w:r w:rsidR="00EC71BE">
        <w:t>programmes</w:t>
      </w:r>
      <w:r w:rsidR="003E3C53">
        <w:t xml:space="preserve"> in other contexts</w:t>
      </w:r>
      <w:r w:rsidR="00DC5D10">
        <w:t xml:space="preserve"> show that </w:t>
      </w:r>
      <w:r w:rsidR="003E3C53">
        <w:t xml:space="preserve">physical </w:t>
      </w:r>
      <w:r w:rsidR="003E3C53" w:rsidRPr="00F66076">
        <w:t xml:space="preserve">proximity (within the same community) and personal connection </w:t>
      </w:r>
      <w:r w:rsidR="003E3C53">
        <w:t xml:space="preserve">are conducive to greater </w:t>
      </w:r>
      <w:r w:rsidR="003E3C53" w:rsidRPr="00F66076">
        <w:t xml:space="preserve">potential for </w:t>
      </w:r>
      <w:r w:rsidR="003E3C53">
        <w:t>success of CfR programme.</w:t>
      </w:r>
      <w:r w:rsidR="0042797F">
        <w:t xml:space="preserve"> The survey showed that </w:t>
      </w:r>
      <w:r w:rsidR="00813D8F">
        <w:t xml:space="preserve">in 52.4% </w:t>
      </w:r>
      <w:r w:rsidR="0042797F">
        <w:t>of the responses the owners were living in in the same district or closer and</w:t>
      </w:r>
      <w:r w:rsidR="00813D8F">
        <w:t xml:space="preserve"> </w:t>
      </w:r>
      <w:r w:rsidR="004C1BDB">
        <w:t>46.4% reside within the same settlement</w:t>
      </w:r>
      <w:r w:rsidR="00813D8F">
        <w:t xml:space="preserve"> or closer</w:t>
      </w:r>
      <w:r w:rsidR="0042797F">
        <w:t>.</w:t>
      </w:r>
    </w:p>
    <w:p w14:paraId="1C50CB31" w14:textId="77777777" w:rsidR="00771EF1" w:rsidRDefault="00771EF1" w:rsidP="003E3C53"/>
    <w:p w14:paraId="67548366" w14:textId="3AF2E040" w:rsidR="00771EF1" w:rsidRDefault="00771EF1" w:rsidP="00782190">
      <w:r>
        <w:t>There is</w:t>
      </w:r>
      <w:r w:rsidR="00726C13">
        <w:t xml:space="preserve">, however, </w:t>
      </w:r>
      <w:r>
        <w:t>significant difference between markets</w:t>
      </w:r>
      <w:r w:rsidR="00726C13">
        <w:t xml:space="preserve"> regarding the proximity of landlords</w:t>
      </w:r>
      <w:r>
        <w:t xml:space="preserve">: while in rural Chamtala, and, to a lesser extent Bar Shegi, absentee landlords are a rarity, in more developed central and urbanized markets absentee landlords are much more common. In some of the </w:t>
      </w:r>
      <w:r w:rsidR="00726C13">
        <w:t xml:space="preserve">communities </w:t>
      </w:r>
      <w:r>
        <w:t>(settlements) in Jalalabad and Behsud districts, over half of landlords are absentees.</w:t>
      </w:r>
    </w:p>
    <w:p w14:paraId="22A98860" w14:textId="77777777" w:rsidR="00921B41" w:rsidRDefault="00921B41" w:rsidP="00782190"/>
    <w:p w14:paraId="5DD137D8" w14:textId="77777777" w:rsidR="006A6388" w:rsidRDefault="00782190" w:rsidP="00782190">
      <w:r>
        <w:t xml:space="preserve">An alternative indicator of proximity is that the respondents knew the name of the owner in 67.7% of all cases; however, for male respondents the number is 80% (whilst for female respondents </w:t>
      </w:r>
      <w:r w:rsidR="00813D8F">
        <w:t>54.5</w:t>
      </w:r>
      <w:r w:rsidR="006A6388">
        <w:t>%).</w:t>
      </w:r>
      <w:r>
        <w:t xml:space="preserve"> </w:t>
      </w:r>
      <w:r w:rsidR="006A6388">
        <w:t>This</w:t>
      </w:r>
      <w:r>
        <w:t xml:space="preserve"> reflects the fact that men are more often responsible for making rental arrangements on behalf of the family/household.</w:t>
      </w:r>
    </w:p>
    <w:p w14:paraId="5AE1172E" w14:textId="1957F150" w:rsidR="006A6388" w:rsidRDefault="00782190" w:rsidP="00782190">
      <w:r>
        <w:t xml:space="preserve"> </w:t>
      </w:r>
    </w:p>
    <w:p w14:paraId="74B1EEC3" w14:textId="77777777" w:rsidR="00051068" w:rsidRPr="00051068" w:rsidRDefault="00051068" w:rsidP="00051068">
      <w:pPr>
        <w:pBdr>
          <w:top w:val="single" w:sz="4" w:space="1" w:color="auto"/>
          <w:left w:val="single" w:sz="4" w:space="4" w:color="auto"/>
          <w:bottom w:val="single" w:sz="4" w:space="1" w:color="auto"/>
          <w:right w:val="single" w:sz="4" w:space="4" w:color="auto"/>
        </w:pBdr>
        <w:rPr>
          <w:sz w:val="10"/>
        </w:rPr>
      </w:pPr>
    </w:p>
    <w:p w14:paraId="27122197" w14:textId="5A81AC74" w:rsidR="00782190" w:rsidRDefault="0023127D" w:rsidP="00F31E6A">
      <w:pPr>
        <w:pBdr>
          <w:top w:val="single" w:sz="4" w:space="1" w:color="auto"/>
          <w:left w:val="single" w:sz="4" w:space="4" w:color="auto"/>
          <w:bottom w:val="single" w:sz="4" w:space="1" w:color="auto"/>
          <w:right w:val="single" w:sz="4" w:space="4" w:color="auto"/>
        </w:pBdr>
      </w:pPr>
      <w:r>
        <w:t xml:space="preserve">The fact that </w:t>
      </w:r>
      <w:r w:rsidR="00782190">
        <w:t xml:space="preserve">more than </w:t>
      </w:r>
      <w:r w:rsidR="001528B2">
        <w:t xml:space="preserve">over a half of </w:t>
      </w:r>
      <w:r w:rsidR="00782190">
        <w:t>the owners live in relative proximity to potential beneficiaries is an encouraging factor that can contribute to a successful CfR Shelter Program as the proximity of the landlord creates a bond between the tenant and the landlord necessary for the success of the programme</w:t>
      </w:r>
      <w:r w:rsidR="001528B2">
        <w:t>. A</w:t>
      </w:r>
      <w:r>
        <w:t>t the same time,</w:t>
      </w:r>
      <w:r w:rsidR="00782190">
        <w:t xml:space="preserve"> in many settlements absentee landlords are very common, and would need to be taken into account when designing the programme.</w:t>
      </w:r>
    </w:p>
    <w:p w14:paraId="5189EE1F" w14:textId="77777777" w:rsidR="00F31E6A" w:rsidRPr="00F31E6A" w:rsidRDefault="00F31E6A" w:rsidP="00F31E6A">
      <w:pPr>
        <w:pBdr>
          <w:top w:val="single" w:sz="4" w:space="1" w:color="auto"/>
          <w:left w:val="single" w:sz="4" w:space="4" w:color="auto"/>
          <w:bottom w:val="single" w:sz="4" w:space="1" w:color="auto"/>
          <w:right w:val="single" w:sz="4" w:space="4" w:color="auto"/>
        </w:pBdr>
        <w:rPr>
          <w:sz w:val="10"/>
        </w:rPr>
      </w:pPr>
    </w:p>
    <w:p w14:paraId="242B7D00" w14:textId="77777777" w:rsidR="00DA6DEF" w:rsidRDefault="00DA6DEF" w:rsidP="00782190"/>
    <w:p w14:paraId="1EE75837" w14:textId="5E0941BB" w:rsidR="00782190" w:rsidRDefault="00782190" w:rsidP="00782190">
      <w:r>
        <w:t>While renting from relatives is not very common, family networks play a very important role in</w:t>
      </w:r>
      <w:r w:rsidR="00401218">
        <w:t xml:space="preserve"> connecting tenants to housing.</w:t>
      </w:r>
      <w:r>
        <w:t xml:space="preserve"> Over two thirds of respondents had found their current accommodation through a relative. Returnees relied on the help of the relatives more often than members of the host community and IDPs. Women report larger reliance on social networks</w:t>
      </w:r>
      <w:r w:rsidR="006E3283">
        <w:t xml:space="preserve"> (77.2%)</w:t>
      </w:r>
      <w:r>
        <w:t>, when compared to men</w:t>
      </w:r>
      <w:r w:rsidR="006E3283">
        <w:t xml:space="preserve"> (59.3% of men)</w:t>
      </w:r>
      <w:r>
        <w:t xml:space="preserve"> when looking for accommodation. </w:t>
      </w:r>
    </w:p>
    <w:p w14:paraId="15AC48F9" w14:textId="77777777" w:rsidR="00782190" w:rsidRDefault="00782190" w:rsidP="00782190"/>
    <w:p w14:paraId="472659D3" w14:textId="3BC1CA43" w:rsidR="00402F95" w:rsidRDefault="00CC5A84" w:rsidP="00475EA2">
      <w:pPr>
        <w:pStyle w:val="CommentText"/>
        <w:jc w:val="both"/>
      </w:pPr>
      <w:r>
        <w:t>While n</w:t>
      </w:r>
      <w:r w:rsidR="00782190">
        <w:t xml:space="preserve">ewspapers play a negligibly marginal role in facilitating transactions on the rental market, </w:t>
      </w:r>
      <w:r w:rsidR="001528B2">
        <w:t xml:space="preserve">the assessment showed that </w:t>
      </w:r>
      <w:r w:rsidR="00782190">
        <w:t>property agents emerge as an important feature</w:t>
      </w:r>
      <w:r w:rsidR="001528B2">
        <w:t xml:space="preserve"> of the markets</w:t>
      </w:r>
      <w:r w:rsidR="00E11D45">
        <w:t>. S</w:t>
      </w:r>
      <w:r w:rsidR="00782190">
        <w:t xml:space="preserve">lightly under a third of the </w:t>
      </w:r>
      <w:r w:rsidR="00402F95">
        <w:t>HH</w:t>
      </w:r>
      <w:r w:rsidR="00782190">
        <w:t xml:space="preserve">s (32%) engaged the help of a property agent (broker). </w:t>
      </w:r>
    </w:p>
    <w:p w14:paraId="0D783E5E" w14:textId="50681572" w:rsidR="00782190" w:rsidRDefault="00782190" w:rsidP="00475EA2">
      <w:pPr>
        <w:pStyle w:val="CommentText"/>
        <w:jc w:val="both"/>
      </w:pPr>
      <w:r>
        <w:t>The importance of brokers varies in d</w:t>
      </w:r>
      <w:r w:rsidR="00475EA2">
        <w:t>ifferent markets and locations</w:t>
      </w:r>
      <w:r w:rsidR="0064119E">
        <w:t>.</w:t>
      </w:r>
      <w:r>
        <w:t xml:space="preserve"> </w:t>
      </w:r>
      <w:r w:rsidR="0064119E">
        <w:t>I</w:t>
      </w:r>
      <w:r w:rsidR="00402F95">
        <w:t xml:space="preserve">n </w:t>
      </w:r>
      <w:r>
        <w:t xml:space="preserve">Harchar, for instance, almost half of the respondents found housing through property agents. </w:t>
      </w:r>
      <w:r w:rsidR="001528B2">
        <w:t xml:space="preserve">The importance of brokers in market dynamics could be even higher, since it is likely that </w:t>
      </w:r>
      <w:r w:rsidR="0023127D">
        <w:t>when households</w:t>
      </w:r>
      <w:r>
        <w:t xml:space="preserve"> asked relatives for support, </w:t>
      </w:r>
      <w:r w:rsidR="0023127D">
        <w:t>those</w:t>
      </w:r>
      <w:r>
        <w:t xml:space="preserve"> relatives </w:t>
      </w:r>
      <w:r w:rsidR="0064119E">
        <w:t>in turn relied</w:t>
      </w:r>
      <w:r>
        <w:t xml:space="preserve"> on brokers</w:t>
      </w:r>
      <w:r w:rsidR="001528B2">
        <w:t>.</w:t>
      </w:r>
    </w:p>
    <w:p w14:paraId="33967040" w14:textId="557A163C" w:rsidR="00782190" w:rsidRDefault="00782190" w:rsidP="00782190">
      <w:r>
        <w:t>The emergence of professional intermediaries is a sign of maturation of rental housing market. The survey of key informants reached out to both brokers (36%) and property owners/landlords (64%)</w:t>
      </w:r>
      <w:r w:rsidR="001528B2">
        <w:t>, and w</w:t>
      </w:r>
      <w:r>
        <w:t>hile not statistically representative</w:t>
      </w:r>
      <w:r w:rsidR="009A0CB2">
        <w:t>,</w:t>
      </w:r>
      <w:r>
        <w:t xml:space="preserve"> the</w:t>
      </w:r>
      <w:r w:rsidR="0023127D">
        <w:t>ir</w:t>
      </w:r>
      <w:r>
        <w:t xml:space="preserve"> answers point out that there are systematic differences between the two actors. Brokers are three times less likely to rent to relatives</w:t>
      </w:r>
      <w:r w:rsidR="009A0CB2">
        <w:t xml:space="preserve"> (compared to owner landlords). Brokers also</w:t>
      </w:r>
      <w:r>
        <w:t xml:space="preserve"> tend to offer lower rental prices: their prices for different types of apartments are, on the average, only 80% of the price</w:t>
      </w:r>
      <w:r w:rsidR="0023127D">
        <w:t xml:space="preserve"> charged by a landlord</w:t>
      </w:r>
      <w:r w:rsidR="009A0CB2">
        <w:t>-owner</w:t>
      </w:r>
      <w:r>
        <w:t xml:space="preserve">. </w:t>
      </w:r>
    </w:p>
    <w:p w14:paraId="69EAB418" w14:textId="6F015B4A" w:rsidR="00782190" w:rsidRDefault="00782190" w:rsidP="00782190">
      <w:pPr>
        <w:rPr>
          <w:rFonts w:ascii="AGaramondPro-Regular" w:eastAsia="AGaramondPro-Regular" w:cs="AGaramondPro-Regular"/>
          <w:sz w:val="13"/>
          <w:szCs w:val="13"/>
        </w:rPr>
      </w:pPr>
    </w:p>
    <w:p w14:paraId="0EE0B461" w14:textId="1954F7C1" w:rsidR="00782190" w:rsidRDefault="00782190" w:rsidP="00782190">
      <w:r>
        <w:t>T</w:t>
      </w:r>
      <w:r w:rsidR="00D664BA">
        <w:t>he</w:t>
      </w:r>
      <w:r>
        <w:t xml:space="preserve"> </w:t>
      </w:r>
      <w:r w:rsidR="00D664BA">
        <w:t xml:space="preserve">data collected </w:t>
      </w:r>
      <w:r>
        <w:t>does not address specific traditional financial mechanisms and practices that may be important for the housing market. For instance, “</w:t>
      </w:r>
      <w:r>
        <w:rPr>
          <w:i/>
        </w:rPr>
        <w:t xml:space="preserve">Grawee” </w:t>
      </w:r>
      <w:r>
        <w:t>system</w:t>
      </w:r>
      <w:r>
        <w:rPr>
          <w:rStyle w:val="FootnoteReference"/>
        </w:rPr>
        <w:footnoteReference w:id="30"/>
      </w:r>
      <w:r>
        <w:t xml:space="preserve">, which is a combination of traditional loan and housing mechanism, exists as a means of providing access to housing for a household that has accumulated certain funds, but not sufficient for a purchase of a home. However, evidence of such mechanism </w:t>
      </w:r>
      <w:r w:rsidR="00CC5A84">
        <w:t>were</w:t>
      </w:r>
      <w:r>
        <w:t xml:space="preserve"> detected neither among tenants in the household survey, nor among landlords. Most of the households are paying monthly rent (</w:t>
      </w:r>
      <w:r w:rsidR="001528B2">
        <w:t xml:space="preserve">only </w:t>
      </w:r>
      <w:r>
        <w:t xml:space="preserve">0.4% of the households have their rent set at zero), which </w:t>
      </w:r>
      <w:r w:rsidR="00CC5A84">
        <w:t>indicate</w:t>
      </w:r>
      <w:r w:rsidR="001528B2">
        <w:t>s</w:t>
      </w:r>
      <w:r>
        <w:t xml:space="preserve"> tha</w:t>
      </w:r>
      <w:r w:rsidR="00CC5A84">
        <w:t>t the surveyed housing rental markets</w:t>
      </w:r>
      <w:r>
        <w:t xml:space="preserve"> operate with monthly rent payments.  </w:t>
      </w:r>
    </w:p>
    <w:p w14:paraId="5D749DF1" w14:textId="77777777" w:rsidR="00782190" w:rsidRDefault="00782190" w:rsidP="00782190">
      <w:pPr>
        <w:rPr>
          <w:rFonts w:ascii="AGaramondPro-Regular" w:eastAsia="AGaramondPro-Regular" w:cs="AGaramondPro-Regular"/>
          <w:color w:val="000000"/>
        </w:rPr>
      </w:pPr>
    </w:p>
    <w:p w14:paraId="1263AED1" w14:textId="77777777" w:rsidR="00CC5A84" w:rsidRPr="00CC5A84" w:rsidRDefault="00CC5A84" w:rsidP="00CC5A84">
      <w:pPr>
        <w:pBdr>
          <w:top w:val="single" w:sz="4" w:space="1" w:color="auto"/>
          <w:left w:val="single" w:sz="4" w:space="4" w:color="auto"/>
          <w:bottom w:val="single" w:sz="4" w:space="1" w:color="auto"/>
          <w:right w:val="single" w:sz="4" w:space="4" w:color="auto"/>
        </w:pBdr>
        <w:rPr>
          <w:sz w:val="10"/>
        </w:rPr>
      </w:pPr>
    </w:p>
    <w:p w14:paraId="5DDC02F0" w14:textId="6F328260" w:rsidR="00782190" w:rsidRDefault="00782190" w:rsidP="00CC5A84">
      <w:pPr>
        <w:pBdr>
          <w:top w:val="single" w:sz="4" w:space="1" w:color="auto"/>
          <w:left w:val="single" w:sz="4" w:space="4" w:color="auto"/>
          <w:bottom w:val="single" w:sz="4" w:space="1" w:color="auto"/>
          <w:right w:val="single" w:sz="4" w:space="4" w:color="auto"/>
        </w:pBdr>
        <w:rPr>
          <w:rFonts w:cs="Arial"/>
          <w:bCs/>
          <w:shd w:val="clear" w:color="auto" w:fill="FFFFFF"/>
        </w:rPr>
      </w:pPr>
      <w:r>
        <w:t xml:space="preserve">This </w:t>
      </w:r>
      <w:r w:rsidR="00CC5A84">
        <w:t>reaffirms</w:t>
      </w:r>
      <w:r>
        <w:t xml:space="preserve"> that property agents (brokers) are currently an </w:t>
      </w:r>
      <w:r w:rsidRPr="0068076D">
        <w:t>important feature of rental housing markets, and should be considered important stakeholders in the CfR programme, as they</w:t>
      </w:r>
      <w:r w:rsidRPr="0068076D">
        <w:rPr>
          <w:rFonts w:cs="Arial"/>
          <w:bCs/>
          <w:shd w:val="clear" w:color="auto" w:fill="FFFFFF"/>
        </w:rPr>
        <w:t xml:space="preserve"> </w:t>
      </w:r>
      <w:r w:rsidRPr="006B5182">
        <w:rPr>
          <w:rFonts w:cs="Arial"/>
          <w:bCs/>
          <w:shd w:val="clear" w:color="auto" w:fill="FFFFFF"/>
        </w:rPr>
        <w:t>“understand the local landscape of providers both in the formal sector and informal sector, for example in provision of water, in provision of housing and so on, so, and how can humanitarian interventions can complement these rather than displace them”</w:t>
      </w:r>
      <w:r w:rsidRPr="006B5182">
        <w:rPr>
          <w:rStyle w:val="FootnoteReference"/>
          <w:rFonts w:cs="Arial"/>
          <w:bCs/>
          <w:shd w:val="clear" w:color="auto" w:fill="FFFFFF"/>
        </w:rPr>
        <w:footnoteReference w:id="31"/>
      </w:r>
      <w:r w:rsidR="001528B2">
        <w:rPr>
          <w:rFonts w:cs="Arial"/>
          <w:bCs/>
          <w:shd w:val="clear" w:color="auto" w:fill="FFFFFF"/>
        </w:rPr>
        <w:t>.</w:t>
      </w:r>
    </w:p>
    <w:p w14:paraId="5F4A28A4" w14:textId="77777777" w:rsidR="00CC5A84" w:rsidRPr="00CC5A84" w:rsidRDefault="00CC5A84" w:rsidP="00CC5A84">
      <w:pPr>
        <w:pBdr>
          <w:top w:val="single" w:sz="4" w:space="1" w:color="auto"/>
          <w:left w:val="single" w:sz="4" w:space="4" w:color="auto"/>
          <w:bottom w:val="single" w:sz="4" w:space="1" w:color="auto"/>
          <w:right w:val="single" w:sz="4" w:space="4" w:color="auto"/>
        </w:pBdr>
        <w:rPr>
          <w:sz w:val="12"/>
        </w:rPr>
      </w:pPr>
    </w:p>
    <w:p w14:paraId="664D8D8D" w14:textId="132C30A8" w:rsidR="00782190" w:rsidRDefault="00782190" w:rsidP="00782190"/>
    <w:p w14:paraId="483C4A3E" w14:textId="77777777" w:rsidR="00782190" w:rsidRDefault="00782190" w:rsidP="00782190">
      <w:pPr>
        <w:pStyle w:val="Heading2"/>
        <w:spacing w:before="0"/>
      </w:pPr>
      <w:bookmarkStart w:id="35" w:name="_Toc522906942"/>
      <w:bookmarkStart w:id="36" w:name="_Toc523407966"/>
      <w:r>
        <w:t>Retention of Housing and Livelihood opportunities in assessed areas</w:t>
      </w:r>
      <w:bookmarkEnd w:id="35"/>
      <w:bookmarkEnd w:id="36"/>
    </w:p>
    <w:p w14:paraId="4BF8F534" w14:textId="77777777" w:rsidR="00782190" w:rsidRDefault="00782190" w:rsidP="00782190">
      <w:pPr>
        <w:rPr>
          <w:rFonts w:cstheme="minorHAnsi"/>
        </w:rPr>
      </w:pPr>
    </w:p>
    <w:p w14:paraId="404F4B87" w14:textId="6059A157" w:rsidR="00782190" w:rsidRDefault="00782190" w:rsidP="00782190">
      <w:r>
        <w:t>Afghanistan’s economy has been improving in the past 15 years, however, this improvement should be assessed against a backdrop of the complete economic breakdown in the previous period</w:t>
      </w:r>
      <w:r>
        <w:rPr>
          <w:rStyle w:val="FootnoteReference"/>
        </w:rPr>
        <w:footnoteReference w:id="32"/>
      </w:r>
      <w:r>
        <w:t>. The survey indirectly assessed the economic situation of the households</w:t>
      </w:r>
      <w:r w:rsidR="003F3AE9">
        <w:t>: i</w:t>
      </w:r>
      <w:r>
        <w:t xml:space="preserve">n the absence of income data, the market assessment used indirect methods to approximate the income of the households, </w:t>
      </w:r>
      <w:r w:rsidR="0031494B">
        <w:t xml:space="preserve">through </w:t>
      </w:r>
      <w:r>
        <w:t xml:space="preserve">their capacity to pay rent on time, </w:t>
      </w:r>
      <w:r w:rsidR="0031494B">
        <w:t xml:space="preserve">livelihood situation. These findings also inform the </w:t>
      </w:r>
      <w:r>
        <w:t>potential effect of a CfR programme on the local markets</w:t>
      </w:r>
      <w:r w:rsidR="00153720">
        <w:t>.</w:t>
      </w:r>
      <w:r>
        <w:t xml:space="preserve"> </w:t>
      </w:r>
    </w:p>
    <w:p w14:paraId="62BD0F92" w14:textId="3C8F1A92" w:rsidR="006E3283" w:rsidRDefault="00EE6B8E" w:rsidP="00EE6B8E">
      <w:pPr>
        <w:tabs>
          <w:tab w:val="left" w:pos="2870"/>
        </w:tabs>
      </w:pPr>
      <w:r>
        <w:tab/>
      </w:r>
    </w:p>
    <w:p w14:paraId="5CCEB6A5" w14:textId="3E6AE26C" w:rsidR="00782190" w:rsidRDefault="00782190" w:rsidP="00782190">
      <w:r>
        <w:t>While most of the households pay rent on time, 15.6% reported arrears in rent payment</w:t>
      </w:r>
      <w:r w:rsidR="009E6D5A">
        <w:t>.</w:t>
      </w:r>
      <w:r>
        <w:t xml:space="preserve"> Host community households are the most regular with 88.6% reporting paying on time (with 7.5% missing 1 to 3 months of rent), while re</w:t>
      </w:r>
      <w:r w:rsidR="00AA544E">
        <w:t>turnee households have</w:t>
      </w:r>
      <w:r>
        <w:t xml:space="preserve"> missed payments in 22.7% of cases (14.9%</w:t>
      </w:r>
      <w:r w:rsidR="009E6D5A">
        <w:t xml:space="preserve"> for</w:t>
      </w:r>
      <w:r>
        <w:t xml:space="preserve"> 1 to 3 months and 2.3% </w:t>
      </w:r>
      <w:r w:rsidR="009E6D5A">
        <w:t xml:space="preserve">for </w:t>
      </w:r>
      <w:r>
        <w:t xml:space="preserve">4 to 6 months). In Behsud district and in Kabul camp the payments are the most irregular, while in Bar Shegi, Harchar, Surkhrod and Chamtala the payments are more often on time. </w:t>
      </w:r>
    </w:p>
    <w:p w14:paraId="497EE062" w14:textId="72E49A05" w:rsidR="00EE6B8E" w:rsidRDefault="00EE6B8E" w:rsidP="009D0F2C">
      <w:pPr>
        <w:pStyle w:val="Heading3"/>
      </w:pPr>
      <w:bookmarkStart w:id="37" w:name="_Toc523407967"/>
      <w:r>
        <w:t>Livelihood opportunities</w:t>
      </w:r>
      <w:bookmarkEnd w:id="37"/>
    </w:p>
    <w:p w14:paraId="6E24EB5B" w14:textId="032FF5EF" w:rsidR="005C5698" w:rsidRDefault="005C5698" w:rsidP="00782190">
      <w:r>
        <w:t>While p</w:t>
      </w:r>
      <w:r w:rsidR="00782190">
        <w:t xml:space="preserve">aying rent on time correlates with the displaced/host status of the </w:t>
      </w:r>
      <w:r w:rsidR="00486065">
        <w:t>family</w:t>
      </w:r>
      <w:r w:rsidR="00BA04C9">
        <w:t xml:space="preserve"> </w:t>
      </w:r>
      <w:r>
        <w:t>(</w:t>
      </w:r>
      <w:r w:rsidR="00486065">
        <w:t>host communities are more regular</w:t>
      </w:r>
      <w:r>
        <w:t xml:space="preserve">), there is little correlation with employment status: households with breadwinners employed in skilled and unskilled jobs, have the same likelihood of missing rental payments. </w:t>
      </w:r>
    </w:p>
    <w:p w14:paraId="2EF15433" w14:textId="05171F08" w:rsidR="00782190" w:rsidRDefault="005C5698" w:rsidP="00782190">
      <w:pPr>
        <w:rPr>
          <w:rFonts w:ascii="AGaramondPro-Regular" w:eastAsia="AGaramondPro-Regular" w:cs="AGaramondPro-Regular"/>
          <w:sz w:val="21"/>
          <w:szCs w:val="21"/>
        </w:rPr>
      </w:pPr>
      <w:r w:rsidDel="005C5698">
        <w:t xml:space="preserve"> </w:t>
      </w:r>
    </w:p>
    <w:p w14:paraId="05A1893A" w14:textId="7994EE10" w:rsidR="003105FF" w:rsidRDefault="00782190" w:rsidP="00782190">
      <w:r>
        <w:t xml:space="preserve">In the household survey respondents were requested to assess the availability of skilled and unskilled jobs in the </w:t>
      </w:r>
      <w:r w:rsidRPr="008E0E5E">
        <w:t>communit</w:t>
      </w:r>
      <w:r w:rsidR="008E0E5E" w:rsidRPr="003105FF">
        <w:t>y</w:t>
      </w:r>
      <w:r w:rsidR="008E0E5E">
        <w:t xml:space="preserve"> (</w:t>
      </w:r>
      <w:r w:rsidR="00D41DC7">
        <w:fldChar w:fldCharType="begin"/>
      </w:r>
      <w:r w:rsidR="00D41DC7">
        <w:instrText xml:space="preserve"> REF _Ref523394548 \h </w:instrText>
      </w:r>
      <w:r w:rsidR="00D41DC7">
        <w:fldChar w:fldCharType="separate"/>
      </w:r>
      <w:r w:rsidR="003105FF">
        <w:t xml:space="preserve">Figure </w:t>
      </w:r>
      <w:r w:rsidR="003105FF">
        <w:rPr>
          <w:noProof/>
        </w:rPr>
        <w:t>4</w:t>
      </w:r>
      <w:r w:rsidR="00D41DC7">
        <w:fldChar w:fldCharType="end"/>
      </w:r>
      <w:r w:rsidR="008E0E5E">
        <w:fldChar w:fldCharType="begin"/>
      </w:r>
      <w:r w:rsidR="008E0E5E">
        <w:instrText xml:space="preserve"> REF _Ref523226990 \h </w:instrText>
      </w:r>
      <w:r w:rsidR="008E0E5E">
        <w:fldChar w:fldCharType="end"/>
      </w:r>
      <w:r w:rsidR="008E0E5E">
        <w:t>)</w:t>
      </w:r>
      <w:r w:rsidR="008E0E5E" w:rsidRPr="003105FF">
        <w:t xml:space="preserve">. </w:t>
      </w:r>
      <w:r w:rsidRPr="008E0E5E">
        <w:t>As expected</w:t>
      </w:r>
      <w:r>
        <w:t xml:space="preserve">, skilled jobs are reported in Jalalabad district, while in rural areas they are rare; unskilled jobs are reported </w:t>
      </w:r>
      <w:r w:rsidR="00486065">
        <w:t>across all mark</w:t>
      </w:r>
      <w:r w:rsidR="00BA04C9">
        <w:t>e</w:t>
      </w:r>
      <w:r w:rsidR="00486065">
        <w:t>ts</w:t>
      </w:r>
      <w:r>
        <w:t xml:space="preserve">, but mostly in semi-urban areas of Behsud and Surkhrod, and in Harchar. </w:t>
      </w:r>
    </w:p>
    <w:p w14:paraId="1B153935" w14:textId="77777777" w:rsidR="003105FF" w:rsidRDefault="003105FF" w:rsidP="00782190"/>
    <w:p w14:paraId="7B3807D5" w14:textId="7D0DF24C" w:rsidR="00782190" w:rsidRDefault="00782190" w:rsidP="00782190">
      <w:r>
        <w:t xml:space="preserve">What is remarkable, though, is the large divergence between men and women reporting availability of jobs: since women are mostly excluded from the labour market they appear to have an inflated view of jobs availability. </w:t>
      </w:r>
    </w:p>
    <w:p w14:paraId="60AEB434" w14:textId="44CA08FC" w:rsidR="003105FF" w:rsidRDefault="003105FF" w:rsidP="003105FF">
      <w:pPr>
        <w:autoSpaceDE w:val="0"/>
        <w:autoSpaceDN w:val="0"/>
        <w:adjustRightInd w:val="0"/>
        <w:rPr>
          <w:rFonts w:ascii="AGaramondPro-Regular" w:eastAsia="AGaramondPro-Regular" w:cs="AGaramondPro-Regular"/>
          <w:sz w:val="21"/>
          <w:szCs w:val="21"/>
        </w:rPr>
      </w:pPr>
    </w:p>
    <w:p w14:paraId="29440FED" w14:textId="77777777" w:rsidR="003105FF" w:rsidRDefault="003105FF" w:rsidP="003105FF">
      <w:r>
        <w:t xml:space="preserve">The economic conditions in each of the markets under analysis are dissimilar. The proportion of households with unemployed breadwinners is generally very low for most markets, but grows to 11.8% in Chamtala, and to 4.8% in Harchar. The availability of skilled jobs is highest in Jalalabad district, and in the Kabul camp, and lowest in the rural Harchar and Bar Shegi. </w:t>
      </w:r>
    </w:p>
    <w:p w14:paraId="22A323E1" w14:textId="77777777" w:rsidR="003105FF" w:rsidRDefault="003105FF" w:rsidP="00782190"/>
    <w:p w14:paraId="19F27569" w14:textId="786A8584" w:rsidR="00906E36" w:rsidRDefault="00906E36" w:rsidP="003105FF">
      <w:pPr>
        <w:keepNext/>
      </w:pPr>
      <w:r>
        <w:rPr>
          <w:noProof/>
        </w:rPr>
        <w:drawing>
          <wp:inline distT="0" distB="0" distL="0" distR="0" wp14:anchorId="2EFA816C" wp14:editId="12182D00">
            <wp:extent cx="3038475" cy="2743200"/>
            <wp:effectExtent l="0" t="0" r="9525" b="0"/>
            <wp:docPr id="1" name="Chart 1">
              <a:extLst xmlns:a="http://schemas.openxmlformats.org/drawingml/2006/main">
                <a:ext uri="{FF2B5EF4-FFF2-40B4-BE49-F238E27FC236}">
                  <a16:creationId xmlns:a16="http://schemas.microsoft.com/office/drawing/2014/main" id="{F92E12A6-EAFC-46F8-A939-FC2BDE87F1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D41DC7">
        <w:rPr>
          <w:noProof/>
        </w:rPr>
        <w:drawing>
          <wp:inline distT="0" distB="0" distL="0" distR="0" wp14:anchorId="2991151C" wp14:editId="4483038F">
            <wp:extent cx="3038475" cy="2743200"/>
            <wp:effectExtent l="0" t="0" r="9525" b="0"/>
            <wp:docPr id="2" name="Chart 2">
              <a:extLst xmlns:a="http://schemas.openxmlformats.org/drawingml/2006/main">
                <a:ext uri="{FF2B5EF4-FFF2-40B4-BE49-F238E27FC236}">
                  <a16:creationId xmlns:a16="http://schemas.microsoft.com/office/drawing/2014/main" id="{C7A3A02F-B605-4E98-B568-A0F90A23B7D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58F0621" w14:textId="0E52A3BB" w:rsidR="00906E36" w:rsidRDefault="00906E36">
      <w:pPr>
        <w:pStyle w:val="Caption"/>
      </w:pPr>
      <w:bookmarkStart w:id="38" w:name="_Ref523394548"/>
      <w:r>
        <w:t xml:space="preserve">Figure </w:t>
      </w:r>
      <w:r>
        <w:fldChar w:fldCharType="begin"/>
      </w:r>
      <w:r>
        <w:instrText xml:space="preserve"> SEQ Figure \* ARABIC </w:instrText>
      </w:r>
      <w:r>
        <w:fldChar w:fldCharType="separate"/>
      </w:r>
      <w:r w:rsidR="00642B04">
        <w:rPr>
          <w:noProof/>
        </w:rPr>
        <w:t>4</w:t>
      </w:r>
      <w:r>
        <w:fldChar w:fldCharType="end"/>
      </w:r>
      <w:bookmarkEnd w:id="38"/>
      <w:r>
        <w:t xml:space="preserve"> Perceived availability of skilled </w:t>
      </w:r>
      <w:r w:rsidR="00D41DC7">
        <w:t xml:space="preserve">and unskilled </w:t>
      </w:r>
      <w:r>
        <w:t>jobs</w:t>
      </w:r>
    </w:p>
    <w:p w14:paraId="59D003DA" w14:textId="708D616D" w:rsidR="00782190" w:rsidRDefault="00782190" w:rsidP="00782190"/>
    <w:p w14:paraId="1C30ACD2" w14:textId="2686577E" w:rsidR="00782190" w:rsidRPr="000D380C" w:rsidRDefault="00782190" w:rsidP="00782190">
      <w:pPr>
        <w:rPr>
          <w:szCs w:val="20"/>
        </w:rPr>
      </w:pPr>
      <w:r w:rsidRPr="000D380C">
        <w:rPr>
          <w:szCs w:val="20"/>
        </w:rPr>
        <w:t xml:space="preserve">Combined with the uneven distribution of jobs </w:t>
      </w:r>
      <w:r w:rsidR="00EE704F" w:rsidRPr="000D380C">
        <w:rPr>
          <w:szCs w:val="20"/>
        </w:rPr>
        <w:t xml:space="preserve">across </w:t>
      </w:r>
      <w:r w:rsidRPr="000D380C">
        <w:rPr>
          <w:szCs w:val="20"/>
        </w:rPr>
        <w:t>markets, the assessment noted that different types of households have somewhat different perception of availabilit</w:t>
      </w:r>
      <w:r w:rsidR="002B31E3" w:rsidRPr="000D380C">
        <w:rPr>
          <w:szCs w:val="20"/>
        </w:rPr>
        <w:t xml:space="preserve">y of jobs: </w:t>
      </w:r>
      <w:r w:rsidR="000D380C" w:rsidRPr="000D380C">
        <w:rPr>
          <w:szCs w:val="20"/>
        </w:rPr>
        <w:t>fewer</w:t>
      </w:r>
      <w:r w:rsidR="002B31E3" w:rsidRPr="000D380C">
        <w:rPr>
          <w:szCs w:val="20"/>
        </w:rPr>
        <w:t xml:space="preserve"> displaced households, </w:t>
      </w:r>
      <w:r w:rsidR="002B31E3" w:rsidRPr="000D380C">
        <w:rPr>
          <w:rFonts w:eastAsia="Times New Roman" w:cs="Times New Roman"/>
          <w:color w:val="000000"/>
          <w:szCs w:val="20"/>
          <w:lang w:val="en-GB" w:eastAsia="en-GB"/>
        </w:rPr>
        <w:t xml:space="preserve">33.7% of IDP and </w:t>
      </w:r>
      <w:r w:rsidR="000D380C" w:rsidRPr="000D380C">
        <w:rPr>
          <w:rFonts w:eastAsia="Times New Roman" w:cs="Times New Roman"/>
          <w:color w:val="000000"/>
          <w:szCs w:val="20"/>
          <w:lang w:val="en-GB" w:eastAsia="en-GB"/>
        </w:rPr>
        <w:t>39.9% of returnees</w:t>
      </w:r>
      <w:r w:rsidR="002B31E3" w:rsidRPr="000D380C">
        <w:rPr>
          <w:rFonts w:eastAsia="Times New Roman" w:cs="Times New Roman"/>
          <w:color w:val="000000"/>
          <w:szCs w:val="20"/>
          <w:lang w:val="en-GB" w:eastAsia="en-GB"/>
        </w:rPr>
        <w:t xml:space="preserve">, </w:t>
      </w:r>
      <w:r w:rsidRPr="000D380C">
        <w:rPr>
          <w:szCs w:val="20"/>
        </w:rPr>
        <w:t xml:space="preserve">believe </w:t>
      </w:r>
      <w:r w:rsidRPr="000D380C">
        <w:rPr>
          <w:i/>
          <w:szCs w:val="20"/>
        </w:rPr>
        <w:t>skilled</w:t>
      </w:r>
      <w:r w:rsidRPr="000D380C">
        <w:rPr>
          <w:szCs w:val="20"/>
        </w:rPr>
        <w:t xml:space="preserve"> jobs to be available, </w:t>
      </w:r>
      <w:r w:rsidR="002B31E3" w:rsidRPr="000D380C">
        <w:rPr>
          <w:szCs w:val="20"/>
        </w:rPr>
        <w:t>compared to</w:t>
      </w:r>
      <w:r w:rsidRPr="000D380C">
        <w:rPr>
          <w:szCs w:val="20"/>
        </w:rPr>
        <w:t xml:space="preserve"> </w:t>
      </w:r>
      <w:r w:rsidR="002B31E3" w:rsidRPr="000D380C">
        <w:rPr>
          <w:szCs w:val="20"/>
        </w:rPr>
        <w:t xml:space="preserve">44.2% of </w:t>
      </w:r>
      <w:r w:rsidRPr="000D380C">
        <w:rPr>
          <w:szCs w:val="20"/>
        </w:rPr>
        <w:t>host commun</w:t>
      </w:r>
      <w:r w:rsidR="000D380C" w:rsidRPr="000D380C">
        <w:rPr>
          <w:szCs w:val="20"/>
        </w:rPr>
        <w:t>ity HHs</w:t>
      </w:r>
      <w:r w:rsidR="002B31E3" w:rsidRPr="000D380C">
        <w:rPr>
          <w:szCs w:val="20"/>
        </w:rPr>
        <w:t xml:space="preserve">. On the other hand, 62.5% of host community </w:t>
      </w:r>
      <w:r w:rsidRPr="000D380C">
        <w:rPr>
          <w:szCs w:val="20"/>
        </w:rPr>
        <w:t xml:space="preserve">believe </w:t>
      </w:r>
      <w:r w:rsidRPr="000D380C">
        <w:rPr>
          <w:i/>
          <w:szCs w:val="20"/>
        </w:rPr>
        <w:t>unskilled</w:t>
      </w:r>
      <w:r w:rsidRPr="000D380C">
        <w:rPr>
          <w:szCs w:val="20"/>
        </w:rPr>
        <w:t xml:space="preserve"> jobs to be available</w:t>
      </w:r>
      <w:r w:rsidR="002B31E3" w:rsidRPr="000D380C">
        <w:rPr>
          <w:szCs w:val="20"/>
        </w:rPr>
        <w:t xml:space="preserve">, where </w:t>
      </w:r>
      <w:r w:rsidR="002B31E3" w:rsidRPr="000D380C">
        <w:rPr>
          <w:rFonts w:eastAsia="Times New Roman" w:cs="Times New Roman"/>
          <w:color w:val="000000"/>
          <w:szCs w:val="20"/>
          <w:lang w:val="en-GB" w:eastAsia="en-GB"/>
        </w:rPr>
        <w:t>67.4% of IDPs</w:t>
      </w:r>
      <w:r w:rsidR="002B31E3" w:rsidRPr="000D380C">
        <w:rPr>
          <w:szCs w:val="20"/>
        </w:rPr>
        <w:t xml:space="preserve"> consider them available within their communities. </w:t>
      </w:r>
      <w:r w:rsidRPr="000D380C">
        <w:rPr>
          <w:szCs w:val="20"/>
        </w:rPr>
        <w:t>This may be a reflection of differential access to social and professional networks</w:t>
      </w:r>
      <w:r w:rsidR="00EE704F" w:rsidRPr="000D380C">
        <w:rPr>
          <w:szCs w:val="20"/>
        </w:rPr>
        <w:t xml:space="preserve"> necessary for securing a job.</w:t>
      </w:r>
    </w:p>
    <w:p w14:paraId="28A92B91" w14:textId="41B323A9" w:rsidR="00EE704F" w:rsidRDefault="00EE704F" w:rsidP="00782190"/>
    <w:p w14:paraId="70855C72" w14:textId="6963003D" w:rsidR="00782190" w:rsidRDefault="00782190" w:rsidP="00782190">
      <w:r>
        <w:t xml:space="preserve">The results of the assessment confirm the conclusions from the secondary </w:t>
      </w:r>
      <w:r w:rsidR="00023277">
        <w:t>data</w:t>
      </w:r>
      <w:r>
        <w:t xml:space="preserve"> that the uneven development of Afghanistan regions in the </w:t>
      </w:r>
      <w:r>
        <w:t>past decades have contributed to a growing inequality between regions</w:t>
      </w:r>
      <w:r>
        <w:rPr>
          <w:rStyle w:val="FootnoteReference"/>
        </w:rPr>
        <w:footnoteReference w:id="33"/>
      </w:r>
      <w:r>
        <w:t xml:space="preserve">. </w:t>
      </w:r>
      <w:r w:rsidR="00EE704F">
        <w:t>Employment data</w:t>
      </w:r>
      <w:r>
        <w:t xml:space="preserve"> combined with price differential data</w:t>
      </w:r>
      <w:r w:rsidR="00AB1234">
        <w:t xml:space="preserve"> </w:t>
      </w:r>
      <w:r w:rsidR="00EE704F">
        <w:t xml:space="preserve">indicates at significant underlying variation in income between separate markets. </w:t>
      </w:r>
    </w:p>
    <w:p w14:paraId="47387D32" w14:textId="77777777" w:rsidR="00782190" w:rsidRDefault="00782190" w:rsidP="00782190"/>
    <w:p w14:paraId="5D27C3B3" w14:textId="39809619" w:rsidR="00782190" w:rsidRDefault="00782190" w:rsidP="00782190">
      <w:r>
        <w:t xml:space="preserve">Employment situation is directly linked to security of tenure: among those in skilled employment almost half (47.9%) have a </w:t>
      </w:r>
      <w:r w:rsidR="00B72ABF">
        <w:t xml:space="preserve">written </w:t>
      </w:r>
      <w:r>
        <w:t>contract, while households with unskilled worker</w:t>
      </w:r>
      <w:r w:rsidR="00B72ABF">
        <w:t>s</w:t>
      </w:r>
      <w:r>
        <w:t xml:space="preserve"> have a writte</w:t>
      </w:r>
      <w:r w:rsidR="00535531">
        <w:t>n agreement in 22% of cases</w:t>
      </w:r>
      <w:r>
        <w:t>, and the household with an unemployed member has a formal contract in only 13% of cases</w:t>
      </w:r>
      <w:r w:rsidR="00535531">
        <w:t>.</w:t>
      </w:r>
      <w:r>
        <w:t xml:space="preserve"> </w:t>
      </w:r>
    </w:p>
    <w:p w14:paraId="18196C31" w14:textId="77777777" w:rsidR="00782190" w:rsidRDefault="00782190" w:rsidP="00782190"/>
    <w:p w14:paraId="2258573D" w14:textId="77777777" w:rsidR="00782190" w:rsidRPr="0045134D" w:rsidRDefault="00782190" w:rsidP="00782190">
      <w:pPr>
        <w:pBdr>
          <w:top w:val="single" w:sz="4" w:space="1" w:color="auto"/>
          <w:left w:val="single" w:sz="4" w:space="4" w:color="auto"/>
          <w:bottom w:val="single" w:sz="4" w:space="1" w:color="auto"/>
          <w:right w:val="single" w:sz="4" w:space="4" w:color="auto"/>
        </w:pBdr>
        <w:autoSpaceDE w:val="0"/>
        <w:autoSpaceDN w:val="0"/>
        <w:adjustRightInd w:val="0"/>
        <w:jc w:val="left"/>
        <w:rPr>
          <w:sz w:val="10"/>
        </w:rPr>
      </w:pPr>
    </w:p>
    <w:p w14:paraId="7AC25DEC" w14:textId="29ACEB1C" w:rsidR="00EE6A29" w:rsidRDefault="00A85C93" w:rsidP="00782190">
      <w:pPr>
        <w:pBdr>
          <w:top w:val="single" w:sz="4" w:space="1" w:color="auto"/>
          <w:left w:val="single" w:sz="4" w:space="4" w:color="auto"/>
          <w:bottom w:val="single" w:sz="4" w:space="1" w:color="auto"/>
          <w:right w:val="single" w:sz="4" w:space="4" w:color="auto"/>
        </w:pBdr>
      </w:pPr>
      <w:r>
        <w:t xml:space="preserve">Considering </w:t>
      </w:r>
      <w:r w:rsidR="00782190" w:rsidRPr="0045134D">
        <w:t xml:space="preserve">it is a goal to </w:t>
      </w:r>
      <w:r w:rsidR="00782190" w:rsidRPr="0045134D">
        <w:rPr>
          <w:i/>
        </w:rPr>
        <w:t xml:space="preserve">actively support markets and market-linked livelihoods </w:t>
      </w:r>
      <w:r w:rsidR="00782190" w:rsidRPr="0045134D">
        <w:t xml:space="preserve">through CfR as a CBI, the assessment of beneficiaries considers the different characteristics and capacities of </w:t>
      </w:r>
      <w:r w:rsidR="00B72ABF" w:rsidRPr="0045134D">
        <w:t>beneficiaries but</w:t>
      </w:r>
      <w:r w:rsidR="00782190" w:rsidRPr="0045134D">
        <w:t xml:space="preserve"> should not directly eliminate those HHs that have a member with marketable skills. If there is a youth or a HH with marketable skills, providing CfR will help their families to find some st</w:t>
      </w:r>
      <w:r w:rsidR="00782190" w:rsidRPr="0045134D">
        <w:t xml:space="preserve">ability, and if the labour market integrates a member </w:t>
      </w:r>
      <w:r w:rsidR="00782190">
        <w:t xml:space="preserve">of such family, the program will indirectly benefit the local economy beyond the income provided to the landlords. </w:t>
      </w:r>
    </w:p>
    <w:p w14:paraId="607C46D3" w14:textId="7B8DC76F" w:rsidR="0045134D" w:rsidRDefault="0045134D" w:rsidP="00782190">
      <w:pPr>
        <w:pBdr>
          <w:top w:val="single" w:sz="4" w:space="1" w:color="auto"/>
          <w:left w:val="single" w:sz="4" w:space="4" w:color="auto"/>
          <w:bottom w:val="single" w:sz="4" w:space="1" w:color="auto"/>
          <w:right w:val="single" w:sz="4" w:space="4" w:color="auto"/>
        </w:pBdr>
      </w:pPr>
    </w:p>
    <w:p w14:paraId="0928E404" w14:textId="1AD3E288" w:rsidR="0045134D" w:rsidRDefault="0045134D" w:rsidP="00782190">
      <w:pPr>
        <w:pBdr>
          <w:top w:val="single" w:sz="4" w:space="1" w:color="auto"/>
          <w:left w:val="single" w:sz="4" w:space="4" w:color="auto"/>
          <w:bottom w:val="single" w:sz="4" w:space="1" w:color="auto"/>
          <w:right w:val="single" w:sz="4" w:space="4" w:color="auto"/>
        </w:pBdr>
      </w:pPr>
      <w:r>
        <w:t xml:space="preserve">NRC integrated programming continues to evolve, incorporating more livelihood support components linked to its shelter programmes in Afghanistan. </w:t>
      </w:r>
    </w:p>
    <w:p w14:paraId="7C6D9785" w14:textId="77777777" w:rsidR="00EE6A29" w:rsidRDefault="00EE6A29" w:rsidP="00782190">
      <w:pPr>
        <w:pBdr>
          <w:top w:val="single" w:sz="4" w:space="1" w:color="auto"/>
          <w:left w:val="single" w:sz="4" w:space="4" w:color="auto"/>
          <w:bottom w:val="single" w:sz="4" w:space="1" w:color="auto"/>
          <w:right w:val="single" w:sz="4" w:space="4" w:color="auto"/>
        </w:pBdr>
      </w:pPr>
    </w:p>
    <w:p w14:paraId="67474242" w14:textId="6C3C5AE8" w:rsidR="00782190" w:rsidRDefault="00782190" w:rsidP="00B10F22">
      <w:pPr>
        <w:pBdr>
          <w:top w:val="single" w:sz="4" w:space="1" w:color="auto"/>
          <w:left w:val="single" w:sz="4" w:space="4" w:color="auto"/>
          <w:bottom w:val="single" w:sz="4" w:space="1" w:color="auto"/>
          <w:right w:val="single" w:sz="4" w:space="4" w:color="auto"/>
        </w:pBdr>
      </w:pPr>
      <w:r>
        <w:t>An Occupancy-free-of charge program requiring shelter rehabilitation and upgrades of shelter units (and therefore work with a Conditional Cash modality) will have a high impact supporting local markets and local livelihoods for skill and unskilled construction level – if minimum technical stan</w:t>
      </w:r>
      <w:r w:rsidR="00B10F22">
        <w:t xml:space="preserve">dards are monitoring properly. </w:t>
      </w:r>
    </w:p>
    <w:p w14:paraId="627862B3" w14:textId="77777777" w:rsidR="00B96A05" w:rsidRPr="00B96A05" w:rsidRDefault="00B96A05" w:rsidP="00B10F22">
      <w:pPr>
        <w:pBdr>
          <w:top w:val="single" w:sz="4" w:space="1" w:color="auto"/>
          <w:left w:val="single" w:sz="4" w:space="4" w:color="auto"/>
          <w:bottom w:val="single" w:sz="4" w:space="1" w:color="auto"/>
          <w:right w:val="single" w:sz="4" w:space="4" w:color="auto"/>
        </w:pBdr>
        <w:rPr>
          <w:sz w:val="10"/>
        </w:rPr>
      </w:pPr>
    </w:p>
    <w:p w14:paraId="3243121A" w14:textId="2BD3A4C8" w:rsidR="00782190" w:rsidRDefault="00782190" w:rsidP="00666F6A">
      <w:pPr>
        <w:pStyle w:val="Heading3"/>
        <w:spacing w:before="0"/>
      </w:pPr>
      <w:bookmarkStart w:id="39" w:name="_Toc522906944"/>
      <w:bookmarkStart w:id="40" w:name="_Toc523407968"/>
      <w:r>
        <w:t>R</w:t>
      </w:r>
      <w:r w:rsidR="0045134D">
        <w:t>etention of housing</w:t>
      </w:r>
      <w:bookmarkEnd w:id="40"/>
      <w:r w:rsidR="0045134D">
        <w:t xml:space="preserve"> </w:t>
      </w:r>
      <w:bookmarkEnd w:id="39"/>
    </w:p>
    <w:p w14:paraId="5F9C2201" w14:textId="28989009" w:rsidR="00B76E87" w:rsidRDefault="00782190" w:rsidP="00782190">
      <w:pPr>
        <w:rPr>
          <w:rFonts w:cstheme="minorHAnsi"/>
        </w:rPr>
      </w:pPr>
      <w:r>
        <w:rPr>
          <w:rFonts w:cstheme="minorHAnsi"/>
        </w:rPr>
        <w:t xml:space="preserve">A challenge that other Cash-for-Shelter projects have faced has been the moving out of families receiving assistance. Survey of the </w:t>
      </w:r>
      <w:r w:rsidR="00B72ABF">
        <w:rPr>
          <w:rFonts w:cstheme="minorHAnsi"/>
        </w:rPr>
        <w:t xml:space="preserve">renting </w:t>
      </w:r>
      <w:r>
        <w:rPr>
          <w:rFonts w:cstheme="minorHAnsi"/>
        </w:rPr>
        <w:t xml:space="preserve">households inquired how long the households were planning to stay in the current accommodation, taking the response as a proxy measure to the satisfaction with the place. </w:t>
      </w:r>
    </w:p>
    <w:p w14:paraId="7FDA78EA" w14:textId="77777777" w:rsidR="00B72ABF" w:rsidRDefault="00B72ABF" w:rsidP="00782190">
      <w:pPr>
        <w:rPr>
          <w:rFonts w:cstheme="minorHAnsi"/>
        </w:rPr>
      </w:pPr>
    </w:p>
    <w:p w14:paraId="4508B241" w14:textId="77777777" w:rsidR="004F623D" w:rsidRDefault="00782190" w:rsidP="00782190">
      <w:pPr>
        <w:rPr>
          <w:rFonts w:cstheme="minorHAnsi"/>
        </w:rPr>
      </w:pPr>
      <w:r>
        <w:rPr>
          <w:rFonts w:cstheme="minorHAnsi"/>
        </w:rPr>
        <w:t>Since the survey did not receive many meaningful responses (only 37% of the respondents were able to answer this question), it is difficult to make conclusive recommendation</w:t>
      </w:r>
      <w:r w:rsidR="002A1190">
        <w:rPr>
          <w:rFonts w:cstheme="minorHAnsi"/>
        </w:rPr>
        <w:t>: i</w:t>
      </w:r>
      <w:r>
        <w:rPr>
          <w:rFonts w:cstheme="minorHAnsi"/>
        </w:rPr>
        <w:t>t appears clear, however, that female respondents are significantly more prone to change housing, compared to males (</w:t>
      </w:r>
      <w:r w:rsidR="002A1190">
        <w:rPr>
          <w:rFonts w:cstheme="minorHAnsi"/>
        </w:rPr>
        <w:t xml:space="preserve">almost half of the </w:t>
      </w:r>
      <w:r>
        <w:rPr>
          <w:rFonts w:cstheme="minorHAnsi"/>
        </w:rPr>
        <w:t xml:space="preserve">women would want to move within 6 months, while men are 7 times more likely to prefer </w:t>
      </w:r>
      <w:r w:rsidR="00B76E87">
        <w:rPr>
          <w:rFonts w:cstheme="minorHAnsi"/>
        </w:rPr>
        <w:t xml:space="preserve">staying within next 6 months). </w:t>
      </w:r>
    </w:p>
    <w:p w14:paraId="61FA0D61" w14:textId="77777777" w:rsidR="004F623D" w:rsidRDefault="004F623D" w:rsidP="00782190">
      <w:pPr>
        <w:rPr>
          <w:rFonts w:cstheme="minorHAnsi"/>
        </w:rPr>
      </w:pPr>
    </w:p>
    <w:p w14:paraId="6658EA83" w14:textId="1954B6EB" w:rsidR="00782190" w:rsidRDefault="00782190" w:rsidP="00782190">
      <w:pPr>
        <w:rPr>
          <w:rFonts w:cstheme="minorHAnsi"/>
        </w:rPr>
      </w:pPr>
      <w:r>
        <w:rPr>
          <w:rFonts w:cstheme="minorHAnsi"/>
        </w:rPr>
        <w:t xml:space="preserve">The intention to change housing within next 6 months does not show significant relation to such factors as technical quality of the housing, size or recent increase of rent, </w:t>
      </w:r>
      <w:r w:rsidR="00B72ABF">
        <w:rPr>
          <w:rFonts w:cstheme="minorHAnsi"/>
        </w:rPr>
        <w:t xml:space="preserve">or </w:t>
      </w:r>
      <w:r>
        <w:rPr>
          <w:rFonts w:cstheme="minorHAnsi"/>
        </w:rPr>
        <w:t>overcrowding. No difference between displaced and non-displaced households was noticed</w:t>
      </w:r>
      <w:r w:rsidR="00B72ABF">
        <w:rPr>
          <w:rFonts w:cstheme="minorHAnsi"/>
        </w:rPr>
        <w:t xml:space="preserve"> either.</w:t>
      </w:r>
    </w:p>
    <w:p w14:paraId="7C297EBD" w14:textId="77777777" w:rsidR="00782190" w:rsidRDefault="00782190" w:rsidP="00782190">
      <w:pPr>
        <w:rPr>
          <w:rFonts w:cstheme="minorHAnsi"/>
        </w:rPr>
      </w:pPr>
    </w:p>
    <w:p w14:paraId="5EF00468" w14:textId="2F0EE914" w:rsidR="00782190" w:rsidRDefault="00782190" w:rsidP="00782190">
      <w:pPr>
        <w:rPr>
          <w:rFonts w:cstheme="minorHAnsi"/>
        </w:rPr>
      </w:pPr>
      <w:r>
        <w:rPr>
          <w:rFonts w:cstheme="minorHAnsi"/>
        </w:rPr>
        <w:t>There is a strong variation among markets regarding intentions to stay or move within the next six months: in all rural settlements, except for Chamtala (which is known by its insecurity) most of the households would like to stay. This may be related to relative homogeneity of housing in the market (all the houses are the same, there are no better/more suitable accommodations on the market), or it could be related to the fact that the lower incomes in these settlements would make it impossible to upgrade housing, or, alternatively, it could be related to occupation requirements (farming, herding) that tie the people to one place. In the periphery of Jalalabad urban area, mostly rural or semi-urban locations are where housing markets have more to offer in terms of different quality of accommodation, a small number (less than 6% of households) would intend to move, but in the city of Jalalabad proper, almost 16% of respondents would intend to move within the next 6 months, reflecting a greater turnover of tenants in an urban market.</w:t>
      </w:r>
    </w:p>
    <w:p w14:paraId="33C4A644" w14:textId="7E29BD61" w:rsidR="00782190" w:rsidRDefault="00782190" w:rsidP="00782190"/>
    <w:p w14:paraId="6EF960DC" w14:textId="77777777" w:rsidR="004669CE" w:rsidRPr="004669CE" w:rsidRDefault="004669CE" w:rsidP="00570B1D">
      <w:pPr>
        <w:pBdr>
          <w:top w:val="single" w:sz="4" w:space="1" w:color="auto"/>
          <w:left w:val="single" w:sz="4" w:space="4" w:color="auto"/>
          <w:bottom w:val="single" w:sz="4" w:space="1" w:color="auto"/>
          <w:right w:val="single" w:sz="4" w:space="4" w:color="auto"/>
        </w:pBdr>
        <w:rPr>
          <w:rFonts w:cstheme="minorHAnsi"/>
          <w:sz w:val="10"/>
        </w:rPr>
      </w:pPr>
    </w:p>
    <w:p w14:paraId="1CFA1B58" w14:textId="1CFEA21F" w:rsidR="00402F95" w:rsidRDefault="00402F95" w:rsidP="00570B1D">
      <w:pPr>
        <w:pBdr>
          <w:top w:val="single" w:sz="4" w:space="1" w:color="auto"/>
          <w:left w:val="single" w:sz="4" w:space="4" w:color="auto"/>
          <w:bottom w:val="single" w:sz="4" w:space="1" w:color="auto"/>
          <w:right w:val="single" w:sz="4" w:space="4" w:color="auto"/>
        </w:pBdr>
      </w:pPr>
      <w:r>
        <w:rPr>
          <w:rFonts w:cstheme="minorHAnsi"/>
        </w:rPr>
        <w:t xml:space="preserve">Prolonged assistance might start to impact the rental costs when scaling up programs in relatively small communities / with chronic shortages of affordable housing. Emergency CfR should </w:t>
      </w:r>
      <w:r>
        <w:rPr>
          <w:rFonts w:cstheme="minorHAnsi"/>
          <w:i/>
        </w:rPr>
        <w:t>not</w:t>
      </w:r>
      <w:r>
        <w:rPr>
          <w:rFonts w:cstheme="minorHAnsi"/>
        </w:rPr>
        <w:t xml:space="preserve"> become a permanent rent-subsidize. Bearing in mind these aspects, the optimal period for CfR intervention should be based on the objective of the program. If the objective is to </w:t>
      </w:r>
      <w:r>
        <w:t xml:space="preserve">provide some stability for a displaced family to settle down and find an income generating activity or until the case is referred into a Social Safety formal or informal net system, then, the CfR support should be considered for 6, 9 or 12 months (12 months as a maximum length). </w:t>
      </w:r>
    </w:p>
    <w:p w14:paraId="6F9E446B" w14:textId="2629CCC3" w:rsidR="004669CE" w:rsidRDefault="004669CE" w:rsidP="00570B1D">
      <w:pPr>
        <w:pBdr>
          <w:top w:val="single" w:sz="4" w:space="1" w:color="auto"/>
          <w:left w:val="single" w:sz="4" w:space="4" w:color="auto"/>
          <w:bottom w:val="single" w:sz="4" w:space="1" w:color="auto"/>
          <w:right w:val="single" w:sz="4" w:space="4" w:color="auto"/>
        </w:pBdr>
      </w:pPr>
    </w:p>
    <w:p w14:paraId="2CA10DA3" w14:textId="71DDB81F" w:rsidR="004669CE" w:rsidRDefault="004669CE" w:rsidP="00570B1D">
      <w:pPr>
        <w:pBdr>
          <w:top w:val="single" w:sz="4" w:space="1" w:color="auto"/>
          <w:left w:val="single" w:sz="4" w:space="4" w:color="auto"/>
          <w:bottom w:val="single" w:sz="4" w:space="1" w:color="auto"/>
          <w:right w:val="single" w:sz="4" w:space="4" w:color="auto"/>
        </w:pBdr>
        <w:rPr>
          <w:color w:val="C45911" w:themeColor="accent2" w:themeShade="BF"/>
        </w:rPr>
      </w:pPr>
      <w:r>
        <w:t xml:space="preserve">Further, international CBI experience that intended to provide Occupancy free of Charge for 12 to 18 months was affected by higher moving out rates. </w:t>
      </w:r>
      <w:r w:rsidR="003A5097">
        <w:t>It is expected that displaced families that are able to settle and integrate into a community, will remain for years if not decades.</w:t>
      </w:r>
      <w:r w:rsidR="00107B1B">
        <w:t xml:space="preserve"> Others will continue their efforts to return to their place of </w:t>
      </w:r>
      <w:r w:rsidR="00B72ABF">
        <w:t>origin or</w:t>
      </w:r>
      <w:r w:rsidR="00107B1B">
        <w:t xml:space="preserve"> will continue to look for opportunities at different places. </w:t>
      </w:r>
      <w:r w:rsidR="003A5097">
        <w:t xml:space="preserve"> </w:t>
      </w:r>
      <w:r w:rsidR="00107B1B">
        <w:t>A</w:t>
      </w:r>
      <w:r w:rsidR="003A5097">
        <w:t>t the assessment phase, it would</w:t>
      </w:r>
      <w:r w:rsidR="00BA10B8">
        <w:t xml:space="preserve"> not be feasible to</w:t>
      </w:r>
      <w:r w:rsidR="003A5097">
        <w:t xml:space="preserve"> </w:t>
      </w:r>
      <w:r w:rsidR="00A917A9">
        <w:t xml:space="preserve">determine with accuracy the intention of particular HHs to </w:t>
      </w:r>
      <w:r w:rsidR="0056050C">
        <w:t xml:space="preserve">stay long term in one accommodation. CfR programming should take this into account in the project design (reinforcing the idea of considering assistance to up to 12 months whilst providing accompaniment to beneficiary families to monitor their intention of moving. </w:t>
      </w:r>
      <w:r w:rsidR="00A917A9">
        <w:t xml:space="preserve"> </w:t>
      </w:r>
    </w:p>
    <w:p w14:paraId="15BC9A43" w14:textId="77777777" w:rsidR="00570B1D" w:rsidRPr="00570B1D" w:rsidRDefault="00570B1D" w:rsidP="00570B1D">
      <w:pPr>
        <w:pBdr>
          <w:top w:val="single" w:sz="4" w:space="1" w:color="auto"/>
          <w:left w:val="single" w:sz="4" w:space="4" w:color="auto"/>
          <w:bottom w:val="single" w:sz="4" w:space="1" w:color="auto"/>
          <w:right w:val="single" w:sz="4" w:space="4" w:color="auto"/>
        </w:pBdr>
        <w:rPr>
          <w:color w:val="C45911" w:themeColor="accent2" w:themeShade="BF"/>
          <w:sz w:val="10"/>
        </w:rPr>
      </w:pPr>
    </w:p>
    <w:p w14:paraId="4D400FD3" w14:textId="2C58CC6F" w:rsidR="00275564" w:rsidRPr="004F623D" w:rsidRDefault="00275564" w:rsidP="004F623D">
      <w:pPr>
        <w:rPr>
          <w:sz w:val="10"/>
        </w:rPr>
      </w:pPr>
      <w:bookmarkStart w:id="41" w:name="_Toc522906946"/>
    </w:p>
    <w:p w14:paraId="65A79637" w14:textId="77777777" w:rsidR="004F623D" w:rsidRDefault="004F623D" w:rsidP="004F623D"/>
    <w:p w14:paraId="5FB37711" w14:textId="19A0EA0F" w:rsidR="00782190" w:rsidRDefault="00782190" w:rsidP="00782190">
      <w:pPr>
        <w:pStyle w:val="Heading2"/>
        <w:spacing w:before="0"/>
        <w:rPr>
          <w:color w:val="0070C0"/>
        </w:rPr>
      </w:pPr>
      <w:bookmarkStart w:id="42" w:name="_Toc523407969"/>
      <w:r>
        <w:t>Community Capacity</w:t>
      </w:r>
      <w:bookmarkEnd w:id="41"/>
      <w:bookmarkEnd w:id="42"/>
      <w:r>
        <w:t xml:space="preserve"> </w:t>
      </w:r>
    </w:p>
    <w:p w14:paraId="02EBB4CD" w14:textId="77777777" w:rsidR="00782190" w:rsidRDefault="00782190" w:rsidP="00782190"/>
    <w:p w14:paraId="054F2028" w14:textId="45134AC3" w:rsidR="00782190" w:rsidRPr="004F623D" w:rsidRDefault="00782190" w:rsidP="004F623D">
      <w:r>
        <w:t>While Afghanistan is still a predominantly rural country, this assessment provides sufficient evidence of the growing importance of the cities, and, equally important, the growing urban/rural divide in housing quality and rent costs</w:t>
      </w:r>
      <w:r w:rsidR="00D2558A">
        <w:t>,</w:t>
      </w:r>
      <w:r>
        <w:t xml:space="preserve"> as we</w:t>
      </w:r>
      <w:r w:rsidR="00D2558A">
        <w:t>ll as in economic opportunities.</w:t>
      </w:r>
      <w:r>
        <w:t xml:space="preserve"> The growing importance of cities is confirmed by secondary sources</w:t>
      </w:r>
      <w:r>
        <w:rPr>
          <w:rStyle w:val="FootnoteReference"/>
        </w:rPr>
        <w:footnoteReference w:id="34"/>
      </w:r>
      <w:r>
        <w:t xml:space="preserve">, and urban areas become a desirable place for dwelling not only for host community, that move nearer to the city from the surrounding hinterland, but also for returnees and IDPs that prefer to return or move to a larger market, which offers greater opportunities in terms of employment, as well as housing. </w:t>
      </w:r>
    </w:p>
    <w:p w14:paraId="5D5B0A26" w14:textId="77777777" w:rsidR="006B6C82" w:rsidRDefault="006B6C82" w:rsidP="00782190"/>
    <w:p w14:paraId="47914D36" w14:textId="2F474CD3" w:rsidR="00782190" w:rsidRDefault="00782190" w:rsidP="00782190">
      <w:r>
        <w:t xml:space="preserve">Urban and semi-urban areas </w:t>
      </w:r>
      <w:r w:rsidR="00BF0738">
        <w:t>offer larger access to service</w:t>
      </w:r>
      <w:r w:rsidR="00BF0738" w:rsidRPr="00BF0738">
        <w:t xml:space="preserve">s, </w:t>
      </w:r>
      <w:r>
        <w:t xml:space="preserve">where resident in the Jalalabad urban area have access to </w:t>
      </w:r>
      <w:r w:rsidR="001F161D">
        <w:t>basic</w:t>
      </w:r>
      <w:r>
        <w:t xml:space="preserve"> public services</w:t>
      </w:r>
      <w:r w:rsidR="001F161D">
        <w:t xml:space="preserve"> (clinic, bazar/markets, schools and means of transportation)</w:t>
      </w:r>
      <w:r>
        <w:t xml:space="preserve">, while resident in Bar Shegi or Harchar seem to be limited </w:t>
      </w:r>
      <w:r>
        <w:t>in the public services available</w:t>
      </w:r>
      <w:r w:rsidR="00A44CFF">
        <w:t xml:space="preserve"> (particularly access to clinics and schools)</w:t>
      </w:r>
      <w:r>
        <w:t>. There do</w:t>
      </w:r>
      <w:r w:rsidR="00D2558A">
        <w:t>es</w:t>
      </w:r>
      <w:r>
        <w:t xml:space="preserve"> not seem to be difference in access to services for groups in different displacement status (host, IDP, returnees) </w:t>
      </w:r>
      <w:r>
        <w:rPr>
          <w:i/>
        </w:rPr>
        <w:t>except</w:t>
      </w:r>
      <w:r>
        <w:t xml:space="preserve"> for Bar Shegi settlement, where IDPs and Returnees report lower access to all services.</w:t>
      </w:r>
    </w:p>
    <w:p w14:paraId="4572CF88" w14:textId="77777777" w:rsidR="00BF0738" w:rsidRDefault="00BF0738" w:rsidP="00782190"/>
    <w:p w14:paraId="7190004A" w14:textId="25162C05" w:rsidR="00782190" w:rsidRDefault="00782190" w:rsidP="00782190">
      <w:r>
        <w:t xml:space="preserve">The uneven attractiveness of different </w:t>
      </w:r>
      <w:r w:rsidR="002A1190">
        <w:t xml:space="preserve">local </w:t>
      </w:r>
      <w:r>
        <w:t>markets is revealed in the analysis of the pull and push factors that caused households to move to the location/settlement where they currently live. The largest difference in push and pull factors is observed between households of different displacement status (</w:t>
      </w:r>
      <w:r w:rsidR="00A02E5B">
        <w:fldChar w:fldCharType="begin"/>
      </w:r>
      <w:r w:rsidR="00A02E5B">
        <w:instrText xml:space="preserve"> REF _Ref523394908 \h </w:instrText>
      </w:r>
      <w:r w:rsidR="00A02E5B">
        <w:fldChar w:fldCharType="separate"/>
      </w:r>
      <w:r w:rsidR="00A02E5B">
        <w:t xml:space="preserve">Figure </w:t>
      </w:r>
      <w:r w:rsidR="00A02E5B">
        <w:rPr>
          <w:noProof/>
        </w:rPr>
        <w:t>4</w:t>
      </w:r>
      <w:r w:rsidR="00A02E5B">
        <w:fldChar w:fldCharType="end"/>
      </w:r>
      <w:r>
        <w:t>): for IDP households security is the main push factor, but economic opportu</w:t>
      </w:r>
      <w:r>
        <w:t xml:space="preserve">nity is a significant motivation as well. For host community members, economic opportunity is the most important pull factor, whereas returnees are mainly motivated by return. </w:t>
      </w:r>
    </w:p>
    <w:p w14:paraId="3C680926" w14:textId="77777777" w:rsidR="00782190" w:rsidRDefault="00782190" w:rsidP="00782190"/>
    <w:p w14:paraId="7E33D0CA" w14:textId="77777777" w:rsidR="00782190" w:rsidRDefault="00782190" w:rsidP="00782190">
      <w:r>
        <w:t>A sizeable proportion of households, especially among the host community and returnees cited housing issues as a push factors to relocation: those are poor quality of previous accommodation, high rent or eviction.</w:t>
      </w:r>
    </w:p>
    <w:p w14:paraId="24DDDB5B" w14:textId="4DD081CF" w:rsidR="00782190" w:rsidRDefault="00782190" w:rsidP="00782190"/>
    <w:p w14:paraId="5310C3C1" w14:textId="77777777" w:rsidR="006B6C82" w:rsidRDefault="006B6C82" w:rsidP="00782190"/>
    <w:p w14:paraId="6E350334" w14:textId="1D855ED8" w:rsidR="00782190" w:rsidRDefault="00782190" w:rsidP="00782190">
      <w:pPr>
        <w:pStyle w:val="CommentText"/>
        <w:keepNext/>
      </w:pPr>
      <w:r>
        <w:rPr>
          <w:noProof/>
        </w:rPr>
        <w:drawing>
          <wp:inline distT="0" distB="0" distL="0" distR="0" wp14:anchorId="635A4FD8" wp14:editId="4EA94325">
            <wp:extent cx="6324600" cy="3175000"/>
            <wp:effectExtent l="0" t="0" r="0" b="6350"/>
            <wp:docPr id="11" name="Chart 11">
              <a:extLst xmlns:a="http://schemas.openxmlformats.org/drawingml/2006/main">
                <a:ext uri="{FF2B5EF4-FFF2-40B4-BE49-F238E27FC236}">
                  <a16:creationId xmlns:a16="http://schemas.microsoft.com/office/drawing/2014/main" id="{1CEF951D-1404-45AF-9B5D-7CEC1FE10B8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2C8D73B" w14:textId="6C072840" w:rsidR="00782190" w:rsidRDefault="00782190" w:rsidP="00782190">
      <w:pPr>
        <w:pStyle w:val="Caption"/>
        <w:jc w:val="left"/>
      </w:pPr>
      <w:bookmarkStart w:id="43" w:name="_Ref523394908"/>
      <w:bookmarkStart w:id="44" w:name="_Ref523227147"/>
      <w:r>
        <w:t xml:space="preserve">Figure </w:t>
      </w:r>
      <w:r>
        <w:rPr>
          <w:noProof/>
        </w:rPr>
        <w:fldChar w:fldCharType="begin"/>
      </w:r>
      <w:r>
        <w:rPr>
          <w:noProof/>
        </w:rPr>
        <w:instrText xml:space="preserve"> SEQ Figure \* ARABIC </w:instrText>
      </w:r>
      <w:r>
        <w:rPr>
          <w:noProof/>
        </w:rPr>
        <w:fldChar w:fldCharType="separate"/>
      </w:r>
      <w:r w:rsidR="00642B04">
        <w:rPr>
          <w:noProof/>
        </w:rPr>
        <w:t>5</w:t>
      </w:r>
      <w:r>
        <w:rPr>
          <w:noProof/>
        </w:rPr>
        <w:fldChar w:fldCharType="end"/>
      </w:r>
      <w:bookmarkEnd w:id="43"/>
      <w:r>
        <w:t xml:space="preserve"> Reasons for moving to current location</w:t>
      </w:r>
      <w:bookmarkEnd w:id="44"/>
    </w:p>
    <w:p w14:paraId="6DF5B74A" w14:textId="4391B5A6" w:rsidR="00782190" w:rsidRDefault="00782190" w:rsidP="00782190">
      <w:r>
        <w:t>The analysis of push/pull factors for different market areas</w:t>
      </w:r>
      <w:r w:rsidR="00A851A9">
        <w:t xml:space="preserve"> </w:t>
      </w:r>
      <w:r>
        <w:t xml:space="preserve">reveals large geographical disparities:  as expected, metropolitan Jalalabad, as well as Kabul camp area and Bar Shegi attract people for economic reason and the opportunities that they offer. Large number of respondents in Chamtala and Harchar cited security as the push factor for relocation. </w:t>
      </w:r>
    </w:p>
    <w:p w14:paraId="411EEC55" w14:textId="77777777" w:rsidR="00BA40EF" w:rsidRDefault="00BA40EF" w:rsidP="00782190"/>
    <w:p w14:paraId="331B8A9C" w14:textId="77777777" w:rsidR="00782190" w:rsidRDefault="00782190" w:rsidP="00782190">
      <w:pPr>
        <w:pStyle w:val="Heading1"/>
      </w:pPr>
      <w:bookmarkStart w:id="45" w:name="_Toc522906947"/>
      <w:bookmarkStart w:id="46" w:name="_Toc523407970"/>
      <w:r>
        <w:t>CONCLUSIONS</w:t>
      </w:r>
      <w:bookmarkEnd w:id="45"/>
      <w:bookmarkEnd w:id="46"/>
    </w:p>
    <w:p w14:paraId="42A1620E" w14:textId="77777777" w:rsidR="00782190" w:rsidRDefault="00782190" w:rsidP="00782190"/>
    <w:p w14:paraId="443B95B1" w14:textId="77777777" w:rsidR="00782190" w:rsidRDefault="00782190" w:rsidP="00782190">
      <w:r>
        <w:t>Responding to the Key Analysis questions:</w:t>
      </w:r>
    </w:p>
    <w:p w14:paraId="3CEA82A4" w14:textId="77777777" w:rsidR="00782190" w:rsidRDefault="00782190" w:rsidP="00782190"/>
    <w:p w14:paraId="0BA2912B" w14:textId="77777777" w:rsidR="00782190" w:rsidRPr="00A52D57" w:rsidRDefault="00782190" w:rsidP="00A52D57">
      <w:pPr>
        <w:pStyle w:val="ListParagraph"/>
        <w:numPr>
          <w:ilvl w:val="0"/>
          <w:numId w:val="29"/>
        </w:numPr>
        <w:spacing w:line="276" w:lineRule="auto"/>
        <w:rPr>
          <w:rFonts w:cstheme="minorHAnsi"/>
        </w:rPr>
      </w:pPr>
      <w:r w:rsidRPr="00A52D57">
        <w:rPr>
          <w:rFonts w:cstheme="minorHAnsi"/>
        </w:rPr>
        <w:t>Whether CfR is an effective way to meet beneficiaries needs – including the need for safe and adequate shelter.</w:t>
      </w:r>
    </w:p>
    <w:p w14:paraId="76A7CBF3" w14:textId="77777777" w:rsidR="00782190" w:rsidRPr="00A52D57" w:rsidRDefault="00782190" w:rsidP="00A52D57">
      <w:pPr>
        <w:pStyle w:val="ListParagraph"/>
        <w:numPr>
          <w:ilvl w:val="0"/>
          <w:numId w:val="29"/>
        </w:numPr>
        <w:spacing w:line="276" w:lineRule="auto"/>
        <w:rPr>
          <w:rFonts w:cstheme="minorHAnsi"/>
        </w:rPr>
      </w:pPr>
      <w:r w:rsidRPr="00A52D57">
        <w:rPr>
          <w:rFonts w:cstheme="minorHAnsi"/>
        </w:rPr>
        <w:t>Understand what the impact of CfR is over specific intervention periods; focusing on two, three and six month periods.</w:t>
      </w:r>
    </w:p>
    <w:p w14:paraId="359589C3" w14:textId="34F5DEB5" w:rsidR="002A1190" w:rsidRPr="00E13E54" w:rsidRDefault="00782190" w:rsidP="002A1190">
      <w:pPr>
        <w:pStyle w:val="ListParagraph"/>
        <w:numPr>
          <w:ilvl w:val="0"/>
          <w:numId w:val="29"/>
        </w:numPr>
        <w:spacing w:line="276" w:lineRule="auto"/>
        <w:rPr>
          <w:rFonts w:cstheme="minorHAnsi"/>
        </w:rPr>
      </w:pPr>
      <w:r w:rsidRPr="00A52D57">
        <w:rPr>
          <w:rFonts w:cstheme="minorHAnsi"/>
        </w:rPr>
        <w:t xml:space="preserve">The risks and opportunities associated with CBIs; considering interventions to reduce the risk of harming existing markets and to </w:t>
      </w:r>
      <w:r w:rsidRPr="00A52D57">
        <w:rPr>
          <w:rFonts w:cstheme="minorHAnsi"/>
          <w:bCs/>
        </w:rPr>
        <w:t xml:space="preserve">stimulate markets </w:t>
      </w:r>
      <w:r w:rsidRPr="00A52D57">
        <w:rPr>
          <w:rFonts w:cstheme="minorHAnsi"/>
        </w:rPr>
        <w:t>and market linked livelihoods?</w:t>
      </w:r>
    </w:p>
    <w:p w14:paraId="7BCDB65B" w14:textId="2299F30A" w:rsidR="00E13E54" w:rsidRDefault="0068076D" w:rsidP="002A1190">
      <w:pPr>
        <w:spacing w:line="276" w:lineRule="auto"/>
        <w:rPr>
          <w:rFonts w:cstheme="minorHAnsi"/>
        </w:rPr>
      </w:pPr>
      <w:r>
        <w:rPr>
          <w:rFonts w:cstheme="minorHAnsi"/>
        </w:rPr>
        <w:t xml:space="preserve">The assessment of rental housing market in the area of Jalalabad city region shows that there is significant </w:t>
      </w:r>
      <w:r w:rsidR="00607ED4">
        <w:rPr>
          <w:rFonts w:cstheme="minorHAnsi"/>
        </w:rPr>
        <w:t xml:space="preserve">variation between local markets as to the market conditions, housing quality, prices, demand, supply and access to the market. In general, it may be argued that the </w:t>
      </w:r>
      <w:r w:rsidR="00607ED4" w:rsidRPr="00A02E5B">
        <w:rPr>
          <w:rFonts w:cstheme="minorHAnsi"/>
        </w:rPr>
        <w:t xml:space="preserve">settlements </w:t>
      </w:r>
      <w:r w:rsidR="00607ED4" w:rsidRPr="00642B04">
        <w:rPr>
          <w:rFonts w:cstheme="minorHAnsi"/>
        </w:rPr>
        <w:t>in the center of the region</w:t>
      </w:r>
      <w:r w:rsidR="00607ED4">
        <w:rPr>
          <w:rFonts w:cstheme="minorHAnsi"/>
        </w:rPr>
        <w:t xml:space="preserve"> (Jalalabad district, Behsud and Surkhrod) have more formalized and developed, but also more expensive </w:t>
      </w:r>
      <w:r w:rsidR="00E13E54">
        <w:rPr>
          <w:rFonts w:cstheme="minorHAnsi"/>
        </w:rPr>
        <w:t xml:space="preserve">and competitive </w:t>
      </w:r>
      <w:r w:rsidR="00607ED4">
        <w:rPr>
          <w:rFonts w:cstheme="minorHAnsi"/>
        </w:rPr>
        <w:t xml:space="preserve">housing rental markets. </w:t>
      </w:r>
      <w:r w:rsidR="00A02E5B">
        <w:rPr>
          <w:rFonts w:cstheme="minorHAnsi"/>
        </w:rPr>
        <w:t>Peripheral r</w:t>
      </w:r>
      <w:r w:rsidR="00E13E54">
        <w:rPr>
          <w:rFonts w:cstheme="minorHAnsi"/>
        </w:rPr>
        <w:t>ural markets are providing accommodat</w:t>
      </w:r>
      <w:r w:rsidR="00BB4362">
        <w:rPr>
          <w:rFonts w:cstheme="minorHAnsi"/>
        </w:rPr>
        <w:t xml:space="preserve">ion for displaced families where they tent to stay longer within the same unit and experiencing fewer rent increases – albeit with relatively lower access to basic services and in some instance, higher insecurity.  </w:t>
      </w:r>
    </w:p>
    <w:p w14:paraId="739D599A" w14:textId="77777777" w:rsidR="00E13E54" w:rsidRDefault="00E13E54" w:rsidP="002A1190">
      <w:pPr>
        <w:spacing w:line="276" w:lineRule="auto"/>
        <w:rPr>
          <w:rFonts w:cstheme="minorHAnsi"/>
        </w:rPr>
      </w:pPr>
    </w:p>
    <w:p w14:paraId="2EB6A404" w14:textId="784E6C4A" w:rsidR="00607ED4" w:rsidRDefault="00607ED4" w:rsidP="002A1190">
      <w:pPr>
        <w:spacing w:line="276" w:lineRule="auto"/>
        <w:rPr>
          <w:rFonts w:cstheme="minorHAnsi"/>
        </w:rPr>
      </w:pPr>
      <w:r>
        <w:rPr>
          <w:rFonts w:cstheme="minorHAnsi"/>
        </w:rPr>
        <w:t xml:space="preserve">In practically all the aspects of access to the rental housing market, and in all locations, the displaced households appear to be more at a disadvantage, compared to host community households. </w:t>
      </w:r>
    </w:p>
    <w:p w14:paraId="05962B2D" w14:textId="6D030F3F" w:rsidR="00607ED4" w:rsidRDefault="00607ED4" w:rsidP="002A1190">
      <w:pPr>
        <w:spacing w:line="276" w:lineRule="auto"/>
        <w:rPr>
          <w:rFonts w:cstheme="minorHAnsi"/>
        </w:rPr>
      </w:pPr>
    </w:p>
    <w:p w14:paraId="296CE30B" w14:textId="1426F623" w:rsidR="00607ED4" w:rsidRDefault="00BB4362" w:rsidP="00423832">
      <w:pPr>
        <w:pStyle w:val="ListParagraph"/>
        <w:numPr>
          <w:ilvl w:val="0"/>
          <w:numId w:val="28"/>
        </w:numPr>
        <w:spacing w:line="276" w:lineRule="auto"/>
        <w:jc w:val="both"/>
        <w:rPr>
          <w:rFonts w:cstheme="minorHAnsi"/>
        </w:rPr>
      </w:pPr>
      <w:r>
        <w:rPr>
          <w:rFonts w:cstheme="minorHAnsi"/>
        </w:rPr>
        <w:t>In terms of h</w:t>
      </w:r>
      <w:r w:rsidRPr="00607ED4">
        <w:rPr>
          <w:rFonts w:cstheme="minorHAnsi"/>
        </w:rPr>
        <w:t xml:space="preserve">ousing </w:t>
      </w:r>
      <w:r w:rsidR="00607ED4" w:rsidRPr="00607ED4">
        <w:rPr>
          <w:rFonts w:cstheme="minorHAnsi"/>
        </w:rPr>
        <w:t>quality</w:t>
      </w:r>
      <w:r>
        <w:rPr>
          <w:rFonts w:cstheme="minorHAnsi"/>
        </w:rPr>
        <w:t xml:space="preserve">, </w:t>
      </w:r>
      <w:r w:rsidR="00423832">
        <w:rPr>
          <w:rFonts w:cstheme="minorHAnsi"/>
        </w:rPr>
        <w:t>(</w:t>
      </w:r>
      <w:r>
        <w:rPr>
          <w:rFonts w:cstheme="minorHAnsi"/>
        </w:rPr>
        <w:t>a</w:t>
      </w:r>
      <w:r w:rsidR="00607ED4" w:rsidRPr="005B1455">
        <w:rPr>
          <w:rFonts w:cstheme="minorHAnsi"/>
        </w:rPr>
        <w:t>lthough the assessment excluded wealthier households</w:t>
      </w:r>
      <w:r w:rsidR="00A02E5B">
        <w:rPr>
          <w:rFonts w:cstheme="minorHAnsi"/>
        </w:rPr>
        <w:t>)</w:t>
      </w:r>
      <w:r w:rsidR="00607ED4" w:rsidRPr="005B1455">
        <w:rPr>
          <w:rFonts w:cstheme="minorHAnsi"/>
        </w:rPr>
        <w:t xml:space="preserve">, the </w:t>
      </w:r>
      <w:r w:rsidR="00607ED4">
        <w:rPr>
          <w:rFonts w:cstheme="minorHAnsi"/>
        </w:rPr>
        <w:t xml:space="preserve">quality of the </w:t>
      </w:r>
      <w:r w:rsidR="00607ED4" w:rsidRPr="00607ED4">
        <w:rPr>
          <w:rFonts w:cstheme="minorHAnsi"/>
        </w:rPr>
        <w:t>housing</w:t>
      </w:r>
      <w:r w:rsidR="00607ED4" w:rsidRPr="005B1455">
        <w:rPr>
          <w:rFonts w:cstheme="minorHAnsi"/>
        </w:rPr>
        <w:t xml:space="preserve"> stock assessed </w:t>
      </w:r>
      <w:r w:rsidR="00607ED4">
        <w:rPr>
          <w:rFonts w:cstheme="minorHAnsi"/>
        </w:rPr>
        <w:t xml:space="preserve">is quite low. </w:t>
      </w:r>
      <w:r w:rsidR="00443BA1">
        <w:rPr>
          <w:rFonts w:cstheme="minorHAnsi"/>
        </w:rPr>
        <w:t xml:space="preserve">Only 21% of housing satisfies very basic living standards, and 28% fit into </w:t>
      </w:r>
      <w:r w:rsidR="00BE3FC3">
        <w:rPr>
          <w:rFonts w:cstheme="minorHAnsi"/>
        </w:rPr>
        <w:t xml:space="preserve">minimal </w:t>
      </w:r>
      <w:r w:rsidR="00443BA1">
        <w:rPr>
          <w:rFonts w:cstheme="minorHAnsi"/>
        </w:rPr>
        <w:t>technical standards.</w:t>
      </w:r>
    </w:p>
    <w:p w14:paraId="57174930" w14:textId="35BD6AF1" w:rsidR="00443BA1" w:rsidRDefault="00443BA1" w:rsidP="00423832">
      <w:pPr>
        <w:pStyle w:val="ListParagraph"/>
        <w:numPr>
          <w:ilvl w:val="0"/>
          <w:numId w:val="28"/>
        </w:numPr>
        <w:spacing w:line="276" w:lineRule="auto"/>
        <w:jc w:val="both"/>
        <w:rPr>
          <w:rFonts w:cstheme="minorHAnsi"/>
        </w:rPr>
      </w:pPr>
      <w:r>
        <w:rPr>
          <w:rFonts w:cstheme="minorHAnsi"/>
        </w:rPr>
        <w:t>There is significant variation between rental prices within and between local markets: the monthly price for similar housing of similar size may differ up to three-fold</w:t>
      </w:r>
      <w:r w:rsidR="00BE3FC3">
        <w:rPr>
          <w:rFonts w:cstheme="minorHAnsi"/>
        </w:rPr>
        <w:t xml:space="preserve"> between communities.</w:t>
      </w:r>
    </w:p>
    <w:p w14:paraId="5FE73141" w14:textId="3AD0230B" w:rsidR="00443BA1" w:rsidRDefault="00B752E3" w:rsidP="00423832">
      <w:pPr>
        <w:pStyle w:val="ListParagraph"/>
        <w:numPr>
          <w:ilvl w:val="0"/>
          <w:numId w:val="28"/>
        </w:numPr>
        <w:spacing w:line="276" w:lineRule="auto"/>
        <w:jc w:val="both"/>
        <w:rPr>
          <w:rFonts w:cstheme="minorHAnsi"/>
        </w:rPr>
      </w:pPr>
      <w:r>
        <w:rPr>
          <w:rFonts w:cstheme="minorHAnsi"/>
        </w:rPr>
        <w:t>A third of the respondents had difficulties funding accommodation, mostly because of elevated prices.</w:t>
      </w:r>
      <w:r w:rsidR="00A851A9">
        <w:rPr>
          <w:rFonts w:cstheme="minorHAnsi"/>
        </w:rPr>
        <w:t xml:space="preserve"> Those who had difficulties finding accommodation are now paying on the average, higher rental prices.</w:t>
      </w:r>
    </w:p>
    <w:p w14:paraId="6DA5C8C5" w14:textId="5D6D5B50" w:rsidR="00B752E3" w:rsidRDefault="00B752E3" w:rsidP="00423832">
      <w:pPr>
        <w:pStyle w:val="ListParagraph"/>
        <w:numPr>
          <w:ilvl w:val="0"/>
          <w:numId w:val="28"/>
        </w:numPr>
        <w:spacing w:line="276" w:lineRule="auto"/>
        <w:jc w:val="both"/>
        <w:rPr>
          <w:rFonts w:cstheme="minorHAnsi"/>
        </w:rPr>
      </w:pPr>
      <w:r>
        <w:rPr>
          <w:rFonts w:cstheme="minorHAnsi"/>
        </w:rPr>
        <w:t xml:space="preserve">The markets differ significantly by the reported availability of vacant accommodation: in certain </w:t>
      </w:r>
      <w:r w:rsidR="00BE3FC3">
        <w:rPr>
          <w:rFonts w:cstheme="minorHAnsi"/>
        </w:rPr>
        <w:t xml:space="preserve">locations and </w:t>
      </w:r>
      <w:r>
        <w:rPr>
          <w:rFonts w:cstheme="minorHAnsi"/>
        </w:rPr>
        <w:t xml:space="preserve">markets </w:t>
      </w:r>
      <w:r w:rsidR="00A851A9">
        <w:rPr>
          <w:rFonts w:cstheme="minorHAnsi"/>
        </w:rPr>
        <w:t xml:space="preserve">segments </w:t>
      </w:r>
      <w:r w:rsidR="00BE3FC3">
        <w:rPr>
          <w:rFonts w:cstheme="minorHAnsi"/>
        </w:rPr>
        <w:t xml:space="preserve">(such as in Surkhrod district) </w:t>
      </w:r>
      <w:r w:rsidR="00A851A9">
        <w:rPr>
          <w:rFonts w:cstheme="minorHAnsi"/>
        </w:rPr>
        <w:t>the availability of free housing units reported by both key informants and households is low, which can signify that demand exceeds supply for some of the market segments.</w:t>
      </w:r>
    </w:p>
    <w:p w14:paraId="7760BEE0" w14:textId="2012D46F" w:rsidR="00A851A9" w:rsidRDefault="00A851A9" w:rsidP="001D1AD4">
      <w:pPr>
        <w:pStyle w:val="ListParagraph"/>
        <w:numPr>
          <w:ilvl w:val="0"/>
          <w:numId w:val="28"/>
        </w:numPr>
        <w:spacing w:line="276" w:lineRule="auto"/>
        <w:jc w:val="both"/>
        <w:rPr>
          <w:rFonts w:cstheme="minorHAnsi"/>
        </w:rPr>
      </w:pPr>
      <w:r>
        <w:rPr>
          <w:rFonts w:cstheme="minorHAnsi"/>
        </w:rPr>
        <w:t xml:space="preserve">In only 32% of the cases there is a written agreement between the tenant and the landlord, however, this proportion varies significantly depending on the market (location), from almost </w:t>
      </w:r>
      <w:r w:rsidR="001D1AD4">
        <w:rPr>
          <w:rFonts w:cstheme="minorHAnsi"/>
        </w:rPr>
        <w:t xml:space="preserve">half </w:t>
      </w:r>
      <w:r>
        <w:rPr>
          <w:rFonts w:cstheme="minorHAnsi"/>
        </w:rPr>
        <w:t>of all contracts to none being in writing. Displaced people tend to have lesser access to written contracts compared to host communities, with the exception of some local markets (such as Surkhrod district) where the displaced</w:t>
      </w:r>
      <w:r w:rsidR="00912FCA">
        <w:rPr>
          <w:rFonts w:cstheme="minorHAnsi"/>
        </w:rPr>
        <w:t xml:space="preserve"> are more likely to possess a written contract.</w:t>
      </w:r>
      <w:r w:rsidR="00BE3FC3">
        <w:rPr>
          <w:rFonts w:cstheme="minorHAnsi"/>
        </w:rPr>
        <w:t>)</w:t>
      </w:r>
      <w:r w:rsidR="00912FCA">
        <w:rPr>
          <w:rFonts w:cstheme="minorHAnsi"/>
        </w:rPr>
        <w:t xml:space="preserve"> </w:t>
      </w:r>
      <w:r w:rsidR="001D1AD4">
        <w:rPr>
          <w:rFonts w:cstheme="minorHAnsi"/>
        </w:rPr>
        <w:t xml:space="preserve">Interestingly, the presence of a written agreement does not seem to have a correlation with </w:t>
      </w:r>
      <w:r w:rsidR="001D1AD4" w:rsidRPr="001D1AD4">
        <w:rPr>
          <w:rFonts w:cstheme="minorHAnsi"/>
        </w:rPr>
        <w:t>the satisfaction with current housing or on the intention to move or stay in the current accommodation</w:t>
      </w:r>
      <w:r w:rsidR="00BE3FC3">
        <w:rPr>
          <w:rFonts w:cstheme="minorHAnsi"/>
        </w:rPr>
        <w:t xml:space="preserve"> as other reasons play a more important role (size of rent payments, security, living conditions) </w:t>
      </w:r>
      <w:r w:rsidR="001D1AD4">
        <w:rPr>
          <w:rFonts w:cstheme="minorHAnsi"/>
        </w:rPr>
        <w:t xml:space="preserve">On the other hand, </w:t>
      </w:r>
      <w:r w:rsidR="001D1AD4" w:rsidRPr="001D1AD4">
        <w:rPr>
          <w:rFonts w:cstheme="minorHAnsi"/>
        </w:rPr>
        <w:t>the likelihood of rent increase actually grows almost twofold</w:t>
      </w:r>
      <w:r w:rsidR="001D1AD4">
        <w:rPr>
          <w:rFonts w:cstheme="minorHAnsi"/>
        </w:rPr>
        <w:t xml:space="preserve"> with a rental agreement (which </w:t>
      </w:r>
      <w:r w:rsidR="001D1AD4" w:rsidRPr="001D1AD4">
        <w:rPr>
          <w:rFonts w:cstheme="minorHAnsi"/>
        </w:rPr>
        <w:t>are more common in more dynamic markets, urban and suburban areas, where prices grow faste</w:t>
      </w:r>
      <w:r w:rsidR="001D1AD4">
        <w:rPr>
          <w:rFonts w:cstheme="minorHAnsi"/>
        </w:rPr>
        <w:t>r).</w:t>
      </w:r>
    </w:p>
    <w:p w14:paraId="086568D7" w14:textId="0D6C7BF8" w:rsidR="006A2BDC" w:rsidRDefault="00912FCA" w:rsidP="00423832">
      <w:pPr>
        <w:pStyle w:val="ListParagraph"/>
        <w:numPr>
          <w:ilvl w:val="0"/>
          <w:numId w:val="28"/>
        </w:numPr>
        <w:spacing w:line="276" w:lineRule="auto"/>
        <w:jc w:val="both"/>
        <w:rPr>
          <w:rFonts w:cstheme="minorHAnsi"/>
        </w:rPr>
      </w:pPr>
      <w:r>
        <w:rPr>
          <w:rFonts w:cstheme="minorHAnsi"/>
        </w:rPr>
        <w:t>The demands to present documents (Tazk</w:t>
      </w:r>
      <w:r w:rsidR="00BE3FC3">
        <w:rPr>
          <w:rFonts w:cstheme="minorHAnsi"/>
        </w:rPr>
        <w:t>e</w:t>
      </w:r>
      <w:r>
        <w:rPr>
          <w:rFonts w:cstheme="minorHAnsi"/>
        </w:rPr>
        <w:t>ra, letter of guarantee) vary from market to market: in some settlements</w:t>
      </w:r>
      <w:r w:rsidR="00BE3FC3">
        <w:rPr>
          <w:rFonts w:cstheme="minorHAnsi"/>
        </w:rPr>
        <w:t xml:space="preserve"> (in particular, in Jalalabad urban area)</w:t>
      </w:r>
      <w:r>
        <w:rPr>
          <w:rFonts w:cstheme="minorHAnsi"/>
        </w:rPr>
        <w:t xml:space="preserve"> almost all of the households had to provide a document, in others, those are not a requirement. Considering that displaced populations often lack internal i.d. documents, it may be a barrier in accessing rental housing. </w:t>
      </w:r>
    </w:p>
    <w:p w14:paraId="6D35421F" w14:textId="3F590111" w:rsidR="006A2BDC" w:rsidRDefault="000A5494" w:rsidP="00423832">
      <w:pPr>
        <w:pStyle w:val="ListParagraph"/>
        <w:numPr>
          <w:ilvl w:val="0"/>
          <w:numId w:val="28"/>
        </w:numPr>
        <w:spacing w:line="276" w:lineRule="auto"/>
        <w:jc w:val="both"/>
        <w:rPr>
          <w:rFonts w:cstheme="minorHAnsi"/>
        </w:rPr>
      </w:pPr>
      <w:r>
        <w:rPr>
          <w:rFonts w:cstheme="minorHAnsi"/>
        </w:rPr>
        <w:t>O</w:t>
      </w:r>
      <w:r w:rsidR="005B1455">
        <w:rPr>
          <w:rFonts w:cstheme="minorHAnsi"/>
        </w:rPr>
        <w:t>nly less than a tenth of households are renting from relatives. The role of the property brokers in connecting tenants to landlords see</w:t>
      </w:r>
      <w:r w:rsidR="00BE3FC3">
        <w:rPr>
          <w:rFonts w:cstheme="minorHAnsi"/>
        </w:rPr>
        <w:t>m</w:t>
      </w:r>
      <w:r w:rsidR="005B1455">
        <w:rPr>
          <w:rFonts w:cstheme="minorHAnsi"/>
        </w:rPr>
        <w:t>s to be important, especially in larger, more central settlements.</w:t>
      </w:r>
    </w:p>
    <w:p w14:paraId="1F4C430B" w14:textId="548ABA52" w:rsidR="005B1455" w:rsidRDefault="005B1455" w:rsidP="00423832">
      <w:pPr>
        <w:pStyle w:val="ListParagraph"/>
        <w:numPr>
          <w:ilvl w:val="0"/>
          <w:numId w:val="28"/>
        </w:numPr>
        <w:spacing w:line="276" w:lineRule="auto"/>
        <w:jc w:val="both"/>
        <w:rPr>
          <w:rFonts w:cstheme="minorHAnsi"/>
        </w:rPr>
      </w:pPr>
      <w:r>
        <w:rPr>
          <w:rFonts w:cstheme="minorHAnsi"/>
        </w:rPr>
        <w:t xml:space="preserve">Most of the households – over </w:t>
      </w:r>
      <w:r w:rsidR="000A5494">
        <w:rPr>
          <w:rFonts w:cstheme="minorHAnsi"/>
        </w:rPr>
        <w:t>two-thirds</w:t>
      </w:r>
      <w:r>
        <w:rPr>
          <w:rFonts w:cstheme="minorHAnsi"/>
        </w:rPr>
        <w:t xml:space="preserve"> live in overcrowded conditions, and in certain localities – almost all households. </w:t>
      </w:r>
    </w:p>
    <w:p w14:paraId="6078ED4E" w14:textId="691AD120" w:rsidR="00912FCA" w:rsidRPr="005B1455" w:rsidRDefault="006A2BDC" w:rsidP="00423832">
      <w:pPr>
        <w:pStyle w:val="ListParagraph"/>
        <w:numPr>
          <w:ilvl w:val="0"/>
          <w:numId w:val="28"/>
        </w:numPr>
        <w:spacing w:line="276" w:lineRule="auto"/>
        <w:jc w:val="both"/>
        <w:rPr>
          <w:rFonts w:cstheme="minorHAnsi"/>
        </w:rPr>
      </w:pPr>
      <w:r>
        <w:rPr>
          <w:rFonts w:cstheme="minorHAnsi"/>
        </w:rPr>
        <w:t>Women and men have very different opinions on the</w:t>
      </w:r>
      <w:r w:rsidR="00BE3FC3">
        <w:rPr>
          <w:rFonts w:cstheme="minorHAnsi"/>
        </w:rPr>
        <w:t>ir l</w:t>
      </w:r>
      <w:r>
        <w:rPr>
          <w:rFonts w:cstheme="minorHAnsi"/>
        </w:rPr>
        <w:t xml:space="preserve">iving conditions, such as quality of the sanitation arrangements (toilet, bathroom), and overcrowding: women usually see them as significantly worse. </w:t>
      </w:r>
    </w:p>
    <w:p w14:paraId="441B4535" w14:textId="4BB4C59B" w:rsidR="00912FCA" w:rsidRDefault="006A2BDC" w:rsidP="00423832">
      <w:pPr>
        <w:pStyle w:val="ListParagraph"/>
        <w:numPr>
          <w:ilvl w:val="0"/>
          <w:numId w:val="28"/>
        </w:numPr>
        <w:spacing w:line="276" w:lineRule="auto"/>
        <w:jc w:val="both"/>
        <w:rPr>
          <w:rFonts w:cstheme="minorHAnsi"/>
        </w:rPr>
      </w:pPr>
      <w:r>
        <w:rPr>
          <w:rFonts w:cstheme="minorHAnsi"/>
        </w:rPr>
        <w:t>Chamtala and Harchar were perceived as the most unsafe locations. Women generally see the settlements as less safe, compared to men.</w:t>
      </w:r>
    </w:p>
    <w:p w14:paraId="63EAE251" w14:textId="3BB28A29" w:rsidR="00337E2F" w:rsidRDefault="005B1455" w:rsidP="00337E2F">
      <w:pPr>
        <w:pStyle w:val="ListParagraph"/>
        <w:numPr>
          <w:ilvl w:val="0"/>
          <w:numId w:val="28"/>
        </w:numPr>
        <w:spacing w:line="276" w:lineRule="auto"/>
        <w:jc w:val="both"/>
        <w:rPr>
          <w:rFonts w:cstheme="minorHAnsi"/>
        </w:rPr>
      </w:pPr>
      <w:r>
        <w:rPr>
          <w:rFonts w:cstheme="minorHAnsi"/>
        </w:rPr>
        <w:t>The markets vary very significantly regarding access to public services. Among the markets analyzed, Bar Shegi and Harch</w:t>
      </w:r>
      <w:r w:rsidR="00BE3FC3">
        <w:rPr>
          <w:rFonts w:cstheme="minorHAnsi"/>
        </w:rPr>
        <w:t>a</w:t>
      </w:r>
      <w:r>
        <w:rPr>
          <w:rFonts w:cstheme="minorHAnsi"/>
        </w:rPr>
        <w:t xml:space="preserve">r </w:t>
      </w:r>
      <w:r w:rsidR="00BE3FC3">
        <w:rPr>
          <w:rFonts w:cstheme="minorHAnsi"/>
        </w:rPr>
        <w:t xml:space="preserve">appear </w:t>
      </w:r>
      <w:r>
        <w:rPr>
          <w:rFonts w:cstheme="minorHAnsi"/>
        </w:rPr>
        <w:t xml:space="preserve">to be providing the least amount of public services. </w:t>
      </w:r>
    </w:p>
    <w:p w14:paraId="18DB63BE" w14:textId="49CFB981" w:rsidR="00A4686E" w:rsidRPr="00337E2F" w:rsidRDefault="00337E2F" w:rsidP="00337E2F">
      <w:pPr>
        <w:pStyle w:val="ListParagraph"/>
        <w:numPr>
          <w:ilvl w:val="0"/>
          <w:numId w:val="28"/>
        </w:numPr>
        <w:spacing w:line="276" w:lineRule="auto"/>
        <w:jc w:val="both"/>
        <w:rPr>
          <w:rFonts w:cstheme="minorHAnsi"/>
        </w:rPr>
      </w:pPr>
      <w:r w:rsidRPr="00337E2F">
        <w:rPr>
          <w:rFonts w:cstheme="minorHAnsi"/>
        </w:rPr>
        <w:t xml:space="preserve">The supply and demand factors, are stronger than the actual physical conditions of the building when setting rent values / averages. If there is a significant difference in the cost of rent between houses with poor and good conditions, this might become a disincentive for tenants to request improvements: tenants will accept poor living conditions in order to afford rent and maintain the same unit.  On the other hand, if the cost of rent of poor housing is quite similar / comparable between adequate and inadequate units (due to other aspects such as location, available services and fluctuating following demographic trends), this reduces the incentive for landlords/owners to improve the units. There would need to be additional incentives for property owners to invest in maintenance and upgrades. The cash assistance owners receive through OFC could be one of such incentives. At this time, their interest to invest might correspond to how many available shelter units they do have vacant (this again, related to the demand and supply forces in the market). </w:t>
      </w:r>
    </w:p>
    <w:p w14:paraId="50CE0C78" w14:textId="31A9F15C" w:rsidR="00782190" w:rsidRDefault="00782190" w:rsidP="00782190"/>
    <w:p w14:paraId="5F9D34E8" w14:textId="16C59983" w:rsidR="00607ED4" w:rsidRDefault="000858FA" w:rsidP="00607ED4">
      <w:pPr>
        <w:pStyle w:val="Heading1"/>
      </w:pPr>
      <w:bookmarkStart w:id="47" w:name="_Toc523407971"/>
      <w:r>
        <w:t xml:space="preserve">KEY FINDINGS AND </w:t>
      </w:r>
      <w:r w:rsidR="00607ED4">
        <w:t>RECOMMENDATIONS</w:t>
      </w:r>
      <w:bookmarkEnd w:id="47"/>
      <w:r w:rsidR="00607ED4">
        <w:t xml:space="preserve"> </w:t>
      </w:r>
    </w:p>
    <w:p w14:paraId="165485B0" w14:textId="43996E27" w:rsidR="00607ED4" w:rsidRDefault="00607ED4" w:rsidP="00607ED4"/>
    <w:p w14:paraId="3B4AEE97" w14:textId="34470FD5" w:rsidR="00C2582E" w:rsidRDefault="00C2582E">
      <w:r>
        <w:t xml:space="preserve">Considerations for NRC shelter programming have been presented throughout this report. </w:t>
      </w:r>
      <w:r w:rsidR="00C1094D">
        <w:t>It is clear that due to uneven economic development, displacement, livelihood opportunities, security situation, demand and availability of housing stock different locations and segments of the markets appear to present very different market conditions, and shelter programming should be adapted</w:t>
      </w:r>
      <w:r w:rsidR="006465DE">
        <w:t xml:space="preserve"> as much as it might be feasible</w:t>
      </w:r>
      <w:r w:rsidR="00C1094D">
        <w:t xml:space="preserve"> to the local market situation. Thus, it would be necessary to precede programming with careful a</w:t>
      </w:r>
      <w:r>
        <w:t>ssessments</w:t>
      </w:r>
      <w:r w:rsidR="00C1094D">
        <w:t xml:space="preserve"> and mapping </w:t>
      </w:r>
      <w:r w:rsidRPr="00B71879">
        <w:t xml:space="preserve">to discover </w:t>
      </w:r>
      <w:r w:rsidRPr="00B71879">
        <w:rPr>
          <w:i/>
        </w:rPr>
        <w:t>where</w:t>
      </w:r>
      <w:r w:rsidRPr="00B71879">
        <w:t xml:space="preserve"> do we find higher demand for affordable </w:t>
      </w:r>
      <w:r w:rsidR="00C1094D">
        <w:t xml:space="preserve">housing, higher prices </w:t>
      </w:r>
      <w:r w:rsidR="006142D5">
        <w:t xml:space="preserve">coupled with lower standards, </w:t>
      </w:r>
      <w:r w:rsidR="006142D5" w:rsidRPr="006465DE">
        <w:rPr>
          <w:i/>
        </w:rPr>
        <w:t>where</w:t>
      </w:r>
      <w:r w:rsidR="006142D5">
        <w:t xml:space="preserve"> families live in overcrowded conditions and </w:t>
      </w:r>
      <w:r w:rsidR="006142D5" w:rsidRPr="006465DE">
        <w:rPr>
          <w:i/>
        </w:rPr>
        <w:t>where</w:t>
      </w:r>
      <w:r w:rsidR="006142D5">
        <w:t xml:space="preserve"> the supply of affordable and adequate housing is lower. </w:t>
      </w:r>
    </w:p>
    <w:p w14:paraId="44AFEE99" w14:textId="77777777" w:rsidR="00C2582E" w:rsidRDefault="00C2582E" w:rsidP="00C2582E">
      <w:pPr>
        <w:rPr>
          <w:rFonts w:cs="Arial"/>
          <w:bCs/>
          <w:shd w:val="clear" w:color="auto" w:fill="FFFFFF"/>
        </w:rPr>
      </w:pPr>
    </w:p>
    <w:p w14:paraId="2C6131F5" w14:textId="55C8F3CB" w:rsidR="00C2582E" w:rsidRDefault="00C2582E" w:rsidP="00C2582E">
      <w:pPr>
        <w:rPr>
          <w:rFonts w:cstheme="minorHAnsi"/>
          <w:bCs/>
          <w:shd w:val="clear" w:color="auto" w:fill="FFFFFF"/>
        </w:rPr>
      </w:pPr>
      <w:r>
        <w:rPr>
          <w:rFonts w:cstheme="minorHAnsi"/>
          <w:bCs/>
          <w:shd w:val="clear" w:color="auto" w:fill="FFFFFF"/>
        </w:rPr>
        <w:t>T</w:t>
      </w:r>
      <w:r w:rsidRPr="00B71879">
        <w:rPr>
          <w:rFonts w:cstheme="minorHAnsi"/>
          <w:bCs/>
          <w:shd w:val="clear" w:color="auto" w:fill="FFFFFF"/>
        </w:rPr>
        <w:t xml:space="preserve">here is a chronic shortage of affordable housing </w:t>
      </w:r>
      <w:r w:rsidRPr="00B71879">
        <w:rPr>
          <w:rFonts w:cstheme="minorHAnsi"/>
          <w:bCs/>
          <w:i/>
          <w:shd w:val="clear" w:color="auto" w:fill="FFFFFF"/>
        </w:rPr>
        <w:t xml:space="preserve">that meets minimum standards. </w:t>
      </w:r>
      <w:r w:rsidRPr="00B71879">
        <w:rPr>
          <w:rFonts w:cstheme="minorHAnsi"/>
          <w:bCs/>
          <w:shd w:val="clear" w:color="auto" w:fill="FFFFFF"/>
        </w:rPr>
        <w:t xml:space="preserve">However, </w:t>
      </w:r>
      <w:r w:rsidR="00C1094D">
        <w:rPr>
          <w:rFonts w:cstheme="minorHAnsi"/>
          <w:bCs/>
          <w:shd w:val="clear" w:color="auto" w:fill="FFFFFF"/>
        </w:rPr>
        <w:t>availability of</w:t>
      </w:r>
      <w:r w:rsidRPr="00B71879">
        <w:rPr>
          <w:rFonts w:cstheme="minorHAnsi"/>
          <w:bCs/>
          <w:shd w:val="clear" w:color="auto" w:fill="FFFFFF"/>
        </w:rPr>
        <w:t xml:space="preserve"> vacant units in the lower-bracket of the market indicates that some supply is able to accommodate the current needs </w:t>
      </w:r>
      <w:r w:rsidR="006142D5">
        <w:rPr>
          <w:rFonts w:cstheme="minorHAnsi"/>
          <w:bCs/>
          <w:shd w:val="clear" w:color="auto" w:fill="FFFFFF"/>
        </w:rPr>
        <w:t xml:space="preserve">– </w:t>
      </w:r>
      <w:r w:rsidRPr="00B71879">
        <w:rPr>
          <w:rFonts w:cstheme="minorHAnsi"/>
          <w:bCs/>
          <w:shd w:val="clear" w:color="auto" w:fill="FFFFFF"/>
        </w:rPr>
        <w:t>to</w:t>
      </w:r>
      <w:r w:rsidR="006142D5">
        <w:rPr>
          <w:rFonts w:cstheme="minorHAnsi"/>
          <w:bCs/>
          <w:shd w:val="clear" w:color="auto" w:fill="FFFFFF"/>
        </w:rPr>
        <w:t xml:space="preserve"> </w:t>
      </w:r>
      <w:r w:rsidRPr="00B71879">
        <w:rPr>
          <w:rFonts w:cstheme="minorHAnsi"/>
          <w:bCs/>
          <w:shd w:val="clear" w:color="auto" w:fill="FFFFFF"/>
        </w:rPr>
        <w:t xml:space="preserve">a certain extend. The main concerns include the lack of active construction for low-income affordable housing and the unpredictability of the demand (influx of returnees that are eventually expected).  Also of great concern are the Protection and </w:t>
      </w:r>
      <w:r>
        <w:rPr>
          <w:rFonts w:cstheme="minorHAnsi"/>
          <w:bCs/>
          <w:shd w:val="clear" w:color="auto" w:fill="FFFFFF"/>
        </w:rPr>
        <w:t>Gender-based violence</w:t>
      </w:r>
      <w:r w:rsidRPr="00B71879">
        <w:rPr>
          <w:rFonts w:cstheme="minorHAnsi"/>
          <w:bCs/>
          <w:shd w:val="clear" w:color="auto" w:fill="FFFFFF"/>
        </w:rPr>
        <w:t xml:space="preserve"> </w:t>
      </w:r>
      <w:r>
        <w:rPr>
          <w:rFonts w:cstheme="minorHAnsi"/>
          <w:bCs/>
          <w:shd w:val="clear" w:color="auto" w:fill="FFFFFF"/>
        </w:rPr>
        <w:t>(</w:t>
      </w:r>
      <w:r w:rsidRPr="00B71879">
        <w:rPr>
          <w:rFonts w:cstheme="minorHAnsi"/>
          <w:bCs/>
          <w:shd w:val="clear" w:color="auto" w:fill="FFFFFF"/>
        </w:rPr>
        <w:t>GVB</w:t>
      </w:r>
      <w:r>
        <w:rPr>
          <w:rFonts w:cstheme="minorHAnsi"/>
          <w:bCs/>
          <w:shd w:val="clear" w:color="auto" w:fill="FFFFFF"/>
        </w:rPr>
        <w:t>)</w:t>
      </w:r>
      <w:r w:rsidRPr="00B71879">
        <w:rPr>
          <w:rFonts w:cstheme="minorHAnsi"/>
          <w:bCs/>
          <w:shd w:val="clear" w:color="auto" w:fill="FFFFFF"/>
        </w:rPr>
        <w:t xml:space="preserve"> risks given the overcrowding conditions under which most families live.</w:t>
      </w:r>
      <w:r>
        <w:rPr>
          <w:rFonts w:cstheme="minorHAnsi"/>
          <w:bCs/>
          <w:shd w:val="clear" w:color="auto" w:fill="FFFFFF"/>
        </w:rPr>
        <w:t xml:space="preserve"> </w:t>
      </w:r>
    </w:p>
    <w:p w14:paraId="27C65DB2" w14:textId="77777777" w:rsidR="00C2582E" w:rsidRDefault="00C2582E" w:rsidP="00C2582E">
      <w:pPr>
        <w:rPr>
          <w:rFonts w:cstheme="minorHAnsi"/>
          <w:bCs/>
          <w:shd w:val="clear" w:color="auto" w:fill="FFFFFF"/>
        </w:rPr>
      </w:pPr>
    </w:p>
    <w:p w14:paraId="00053967" w14:textId="193D96C7" w:rsidR="00C2582E" w:rsidRDefault="00C2582E" w:rsidP="00C2582E">
      <w:pPr>
        <w:rPr>
          <w:rFonts w:cs="Arial"/>
          <w:bCs/>
          <w:shd w:val="clear" w:color="auto" w:fill="FFFFFF"/>
        </w:rPr>
      </w:pPr>
      <w:r>
        <w:rPr>
          <w:rFonts w:cs="Arial"/>
          <w:bCs/>
          <w:shd w:val="clear" w:color="auto" w:fill="FFFFFF"/>
        </w:rPr>
        <w:t xml:space="preserve">Whilst NRC shall continue with its core mandate </w:t>
      </w:r>
      <w:r w:rsidRPr="00C2582E">
        <w:rPr>
          <w:rFonts w:cs="Arial"/>
          <w:bCs/>
          <w:shd w:val="clear" w:color="auto" w:fill="FFFFFF"/>
        </w:rPr>
        <w:t>to promote and protect the rights of all people who have been forced to flee their countries, or their homes</w:t>
      </w:r>
      <w:r>
        <w:rPr>
          <w:rFonts w:cs="Arial"/>
          <w:bCs/>
          <w:shd w:val="clear" w:color="auto" w:fill="FFFFFF"/>
        </w:rPr>
        <w:t xml:space="preserve">, when extremely vulnerable </w:t>
      </w:r>
      <w:r w:rsidRPr="00B71879">
        <w:rPr>
          <w:rFonts w:cs="Arial"/>
          <w:bCs/>
          <w:shd w:val="clear" w:color="auto" w:fill="FFFFFF"/>
        </w:rPr>
        <w:t>host community members</w:t>
      </w:r>
      <w:r>
        <w:rPr>
          <w:rFonts w:cs="Arial"/>
          <w:bCs/>
          <w:shd w:val="clear" w:color="auto" w:fill="FFFFFF"/>
        </w:rPr>
        <w:t xml:space="preserve"> are</w:t>
      </w:r>
      <w:r w:rsidRPr="00B71879">
        <w:rPr>
          <w:rFonts w:cs="Arial"/>
          <w:bCs/>
          <w:shd w:val="clear" w:color="auto" w:fill="FFFFFF"/>
        </w:rPr>
        <w:t xml:space="preserve"> in urgent need of shelter</w:t>
      </w:r>
      <w:r w:rsidR="006142D5">
        <w:rPr>
          <w:rFonts w:cs="Arial"/>
          <w:bCs/>
          <w:shd w:val="clear" w:color="auto" w:fill="FFFFFF"/>
        </w:rPr>
        <w:t>, and lack supporting</w:t>
      </w:r>
      <w:r w:rsidRPr="00B71879">
        <w:rPr>
          <w:rFonts w:cs="Arial"/>
          <w:bCs/>
          <w:shd w:val="clear" w:color="auto" w:fill="FFFFFF"/>
        </w:rPr>
        <w:t xml:space="preserve">, these families should also be considered for humanitarian response. </w:t>
      </w:r>
    </w:p>
    <w:p w14:paraId="6377DFAF" w14:textId="77777777" w:rsidR="00C2582E" w:rsidRDefault="00C2582E" w:rsidP="00C2582E">
      <w:pPr>
        <w:rPr>
          <w:rFonts w:cstheme="minorHAnsi"/>
          <w:bCs/>
          <w:shd w:val="clear" w:color="auto" w:fill="FFFFFF"/>
        </w:rPr>
      </w:pPr>
      <w:r w:rsidRPr="00B71879">
        <w:rPr>
          <w:rFonts w:cstheme="minorHAnsi"/>
          <w:bCs/>
          <w:shd w:val="clear" w:color="auto" w:fill="FFFFFF"/>
        </w:rPr>
        <w:t xml:space="preserve"> </w:t>
      </w:r>
    </w:p>
    <w:p w14:paraId="6A4063D2" w14:textId="7F44EDC6" w:rsidR="00782190" w:rsidRDefault="00782190" w:rsidP="00782190">
      <w:pPr>
        <w:rPr>
          <w:rFonts w:cstheme="minorHAnsi"/>
          <w:bCs/>
          <w:shd w:val="clear" w:color="auto" w:fill="FFFFFF"/>
        </w:rPr>
      </w:pPr>
      <w:r w:rsidRPr="00B71879">
        <w:rPr>
          <w:rFonts w:cstheme="minorHAnsi"/>
          <w:bCs/>
          <w:shd w:val="clear" w:color="auto" w:fill="FFFFFF"/>
        </w:rPr>
        <w:t>CfR depends on a functional Local Shelter Market. The Housing Profile at the N</w:t>
      </w:r>
      <w:r w:rsidR="00B71879">
        <w:rPr>
          <w:rFonts w:cstheme="minorHAnsi"/>
          <w:bCs/>
          <w:shd w:val="clear" w:color="auto" w:fill="FFFFFF"/>
        </w:rPr>
        <w:t>ational</w:t>
      </w:r>
      <w:r w:rsidRPr="00B71879">
        <w:rPr>
          <w:rFonts w:cstheme="minorHAnsi"/>
          <w:bCs/>
          <w:shd w:val="clear" w:color="auto" w:fill="FFFFFF"/>
        </w:rPr>
        <w:t xml:space="preserve"> level (</w:t>
      </w:r>
      <w:r w:rsidR="00B71879">
        <w:rPr>
          <w:rFonts w:cstheme="minorHAnsi"/>
          <w:bCs/>
          <w:shd w:val="clear" w:color="auto" w:fill="FFFFFF"/>
        </w:rPr>
        <w:t>as described with</w:t>
      </w:r>
      <w:r w:rsidRPr="00B71879">
        <w:rPr>
          <w:rFonts w:cstheme="minorHAnsi"/>
          <w:bCs/>
          <w:shd w:val="clear" w:color="auto" w:fill="FFFFFF"/>
        </w:rPr>
        <w:t xml:space="preserve"> the </w:t>
      </w:r>
      <w:r w:rsidR="00B71879">
        <w:rPr>
          <w:rFonts w:cstheme="minorHAnsi"/>
          <w:bCs/>
          <w:shd w:val="clear" w:color="auto" w:fill="FFFFFF"/>
        </w:rPr>
        <w:t>scarce secondary data</w:t>
      </w:r>
      <w:r w:rsidRPr="00B71879">
        <w:rPr>
          <w:rFonts w:cstheme="minorHAnsi"/>
          <w:bCs/>
          <w:shd w:val="clear" w:color="auto" w:fill="FFFFFF"/>
        </w:rPr>
        <w:t xml:space="preserve"> available</w:t>
      </w:r>
      <w:r w:rsidR="00B71879">
        <w:rPr>
          <w:rFonts w:cstheme="minorHAnsi"/>
          <w:bCs/>
          <w:shd w:val="clear" w:color="auto" w:fill="FFFFFF"/>
        </w:rPr>
        <w:t xml:space="preserve"> and as found from NRC shelter experience in the country</w:t>
      </w:r>
      <w:r w:rsidRPr="00B71879">
        <w:rPr>
          <w:rFonts w:cstheme="minorHAnsi"/>
          <w:bCs/>
          <w:shd w:val="clear" w:color="auto" w:fill="FFFFFF"/>
        </w:rPr>
        <w:t xml:space="preserve">) shows a highly precarious shelter </w:t>
      </w:r>
      <w:r w:rsidR="00790E46">
        <w:rPr>
          <w:rFonts w:cstheme="minorHAnsi"/>
          <w:bCs/>
          <w:shd w:val="clear" w:color="auto" w:fill="FFFFFF"/>
        </w:rPr>
        <w:t>situation</w:t>
      </w:r>
      <w:r w:rsidR="00B71879">
        <w:rPr>
          <w:rFonts w:cstheme="minorHAnsi"/>
          <w:bCs/>
          <w:shd w:val="clear" w:color="auto" w:fill="FFFFFF"/>
        </w:rPr>
        <w:t xml:space="preserve">. </w:t>
      </w:r>
      <w:r w:rsidRPr="00B71879">
        <w:rPr>
          <w:rFonts w:cstheme="minorHAnsi"/>
          <w:bCs/>
          <w:shd w:val="clear" w:color="auto" w:fill="FFFFFF"/>
        </w:rPr>
        <w:t>“The majority (86%) of the current urban housing</w:t>
      </w:r>
      <w:r w:rsidR="00B71879">
        <w:rPr>
          <w:rFonts w:cstheme="minorHAnsi"/>
          <w:bCs/>
          <w:shd w:val="clear" w:color="auto" w:fill="FFFFFF"/>
        </w:rPr>
        <w:t xml:space="preserve"> </w:t>
      </w:r>
      <w:r w:rsidRPr="00B71879">
        <w:rPr>
          <w:rFonts w:cstheme="minorHAnsi"/>
          <w:bCs/>
          <w:shd w:val="clear" w:color="auto" w:fill="FFFFFF"/>
        </w:rPr>
        <w:t>stock in Afghanistan can be classified as ‘slum’ bas</w:t>
      </w:r>
      <w:r w:rsidR="00B71879">
        <w:rPr>
          <w:rFonts w:cstheme="minorHAnsi"/>
          <w:bCs/>
          <w:shd w:val="clear" w:color="auto" w:fill="FFFFFF"/>
        </w:rPr>
        <w:t>ed on the UN-Habitat definition</w:t>
      </w:r>
      <w:r w:rsidRPr="00B71879">
        <w:rPr>
          <w:rFonts w:cstheme="minorHAnsi"/>
          <w:bCs/>
          <w:shd w:val="clear" w:color="auto" w:fill="FFFFFF"/>
        </w:rPr>
        <w:t>”</w:t>
      </w:r>
      <w:r w:rsidR="00B71879">
        <w:rPr>
          <w:rFonts w:cstheme="minorHAnsi"/>
          <w:bCs/>
          <w:shd w:val="clear" w:color="auto" w:fill="FFFFFF"/>
        </w:rPr>
        <w:t xml:space="preserve"> A</w:t>
      </w:r>
      <w:r w:rsidRPr="00B71879">
        <w:rPr>
          <w:rFonts w:cstheme="minorHAnsi"/>
          <w:bCs/>
          <w:shd w:val="clear" w:color="auto" w:fill="FFFFFF"/>
        </w:rPr>
        <w:t xml:space="preserve">ll indicators show a highly dysfunctional </w:t>
      </w:r>
      <w:r w:rsidRPr="00B71879">
        <w:rPr>
          <w:rFonts w:cstheme="minorHAnsi"/>
          <w:b/>
          <w:bCs/>
          <w:shd w:val="clear" w:color="auto" w:fill="FFFFFF"/>
        </w:rPr>
        <w:t xml:space="preserve">National </w:t>
      </w:r>
      <w:r w:rsidRPr="00B71879">
        <w:rPr>
          <w:rFonts w:cstheme="minorHAnsi"/>
          <w:bCs/>
          <w:shd w:val="clear" w:color="auto" w:fill="FFFFFF"/>
        </w:rPr>
        <w:t xml:space="preserve">Shelter Market: Shelter Market in Afghanistan is characterized by weak relationships between players or actors and support or business services, weak enabling environment – with a lack of rules and norms to guide the way the system works--; slow increase of the supply without incentives, supply focus on units that are not affordable and concentrated in urban centers therefore weak access; and unpredictable demand (no baseline data and uncertain influx from returnees and IDPs). </w:t>
      </w:r>
    </w:p>
    <w:p w14:paraId="159B7EF3" w14:textId="77777777" w:rsidR="00B71879" w:rsidRPr="00B71879" w:rsidRDefault="00B71879" w:rsidP="00782190">
      <w:pPr>
        <w:rPr>
          <w:rFonts w:cstheme="minorHAnsi"/>
          <w:bCs/>
          <w:shd w:val="clear" w:color="auto" w:fill="FFFFFF"/>
        </w:rPr>
      </w:pPr>
    </w:p>
    <w:p w14:paraId="10A229A7" w14:textId="25A004E7" w:rsidR="000858FA" w:rsidRDefault="00790E46" w:rsidP="00782190">
      <w:pPr>
        <w:rPr>
          <w:rFonts w:cstheme="minorHAnsi"/>
          <w:bCs/>
          <w:shd w:val="clear" w:color="auto" w:fill="FFFFFF"/>
        </w:rPr>
      </w:pPr>
      <w:r>
        <w:rPr>
          <w:rFonts w:cstheme="minorHAnsi"/>
          <w:bCs/>
          <w:shd w:val="clear" w:color="auto" w:fill="FFFFFF"/>
        </w:rPr>
        <w:t>While f</w:t>
      </w:r>
      <w:r w:rsidR="00782190" w:rsidRPr="00B71879">
        <w:rPr>
          <w:rFonts w:cstheme="minorHAnsi"/>
          <w:bCs/>
          <w:shd w:val="clear" w:color="auto" w:fill="FFFFFF"/>
        </w:rPr>
        <w:t>urther data and analysis would be needed to increase the confidence in the key findings and recommendations from this report</w:t>
      </w:r>
      <w:r>
        <w:rPr>
          <w:rFonts w:cstheme="minorHAnsi"/>
          <w:bCs/>
          <w:shd w:val="clear" w:color="auto" w:fill="FFFFFF"/>
        </w:rPr>
        <w:t xml:space="preserve">, </w:t>
      </w:r>
      <w:r w:rsidR="00782190" w:rsidRPr="00B71879">
        <w:rPr>
          <w:rFonts w:cstheme="minorHAnsi"/>
          <w:b/>
          <w:bCs/>
          <w:shd w:val="clear" w:color="auto" w:fill="FFFFFF"/>
        </w:rPr>
        <w:t>at the Local level</w:t>
      </w:r>
      <w:r w:rsidR="00782190" w:rsidRPr="00B71879">
        <w:rPr>
          <w:rFonts w:cstheme="minorHAnsi"/>
          <w:bCs/>
          <w:shd w:val="clear" w:color="auto" w:fill="FFFFFF"/>
        </w:rPr>
        <w:t>, from the data collected, core components of an operating housing market appear to be present (</w:t>
      </w:r>
      <w:r>
        <w:rPr>
          <w:rFonts w:cstheme="minorHAnsi"/>
          <w:bCs/>
          <w:shd w:val="clear" w:color="auto" w:fill="FFFFFF"/>
        </w:rPr>
        <w:t xml:space="preserve">albeit </w:t>
      </w:r>
      <w:r w:rsidR="00782190" w:rsidRPr="00B71879">
        <w:rPr>
          <w:rFonts w:cstheme="minorHAnsi"/>
          <w:bCs/>
          <w:shd w:val="clear" w:color="auto" w:fill="FFFFFF"/>
        </w:rPr>
        <w:t xml:space="preserve">providing substandard quality in terms of commodities, labour, and regulations). There is a market chain and the strategic location and proximity to the border with Pakistan provides with a flow of inputs. There </w:t>
      </w:r>
      <w:r w:rsidR="00782190" w:rsidRPr="00B71879">
        <w:rPr>
          <w:rFonts w:cstheme="minorHAnsi"/>
          <w:bCs/>
          <w:i/>
          <w:shd w:val="clear" w:color="auto" w:fill="FFFFFF"/>
        </w:rPr>
        <w:t xml:space="preserve">are </w:t>
      </w:r>
      <w:r>
        <w:rPr>
          <w:rFonts w:cstheme="minorHAnsi"/>
          <w:bCs/>
          <w:shd w:val="clear" w:color="auto" w:fill="FFFFFF"/>
        </w:rPr>
        <w:t>housing</w:t>
      </w:r>
      <w:r w:rsidRPr="00B71879">
        <w:rPr>
          <w:rFonts w:cstheme="minorHAnsi"/>
          <w:bCs/>
          <w:shd w:val="clear" w:color="auto" w:fill="FFFFFF"/>
        </w:rPr>
        <w:t xml:space="preserve"> </w:t>
      </w:r>
      <w:r w:rsidR="00782190" w:rsidRPr="00B71879">
        <w:rPr>
          <w:rFonts w:cstheme="minorHAnsi"/>
          <w:bCs/>
          <w:shd w:val="clear" w:color="auto" w:fill="FFFFFF"/>
        </w:rPr>
        <w:t xml:space="preserve">units available, and potential to build more units. </w:t>
      </w:r>
      <w:r>
        <w:rPr>
          <w:rFonts w:cstheme="minorHAnsi"/>
          <w:bCs/>
          <w:shd w:val="clear" w:color="auto" w:fill="FFFFFF"/>
        </w:rPr>
        <w:t xml:space="preserve">Moreover, there are elements of a market that intend to protect the landlords and the tenants. </w:t>
      </w:r>
      <w:r w:rsidR="00782190" w:rsidRPr="00B71879">
        <w:rPr>
          <w:rFonts w:cstheme="minorHAnsi"/>
          <w:bCs/>
          <w:shd w:val="clear" w:color="auto" w:fill="FFFFFF"/>
        </w:rPr>
        <w:t xml:space="preserve">With the cash received through CfR, beneficiaries will be able to access, or most likely, retain housing, for the length of the program. In other words, they will find the ‘product’ in the market. </w:t>
      </w:r>
    </w:p>
    <w:p w14:paraId="057ECAFF" w14:textId="77777777" w:rsidR="000858FA" w:rsidRDefault="000858FA" w:rsidP="00782190">
      <w:pPr>
        <w:rPr>
          <w:rFonts w:cstheme="minorHAnsi"/>
          <w:bCs/>
          <w:shd w:val="clear" w:color="auto" w:fill="FFFFFF"/>
        </w:rPr>
      </w:pPr>
    </w:p>
    <w:p w14:paraId="43425006" w14:textId="2A04640B" w:rsidR="00782190" w:rsidRPr="00B71879" w:rsidRDefault="00782190" w:rsidP="00782190">
      <w:pPr>
        <w:rPr>
          <w:rFonts w:cstheme="minorHAnsi"/>
          <w:bCs/>
          <w:shd w:val="clear" w:color="auto" w:fill="FFFFFF"/>
        </w:rPr>
      </w:pPr>
      <w:r w:rsidRPr="00B71879">
        <w:rPr>
          <w:rFonts w:cstheme="minorHAnsi"/>
          <w:bCs/>
          <w:shd w:val="clear" w:color="auto" w:fill="FFFFFF"/>
        </w:rPr>
        <w:t xml:space="preserve">At the same time, the CfR program, if implemented carefully, most likely will </w:t>
      </w:r>
      <w:r w:rsidRPr="00B71879">
        <w:rPr>
          <w:rFonts w:cstheme="minorHAnsi"/>
          <w:bCs/>
          <w:i/>
          <w:shd w:val="clear" w:color="auto" w:fill="FFFFFF"/>
        </w:rPr>
        <w:t xml:space="preserve">not </w:t>
      </w:r>
      <w:r w:rsidRPr="00B71879">
        <w:rPr>
          <w:rFonts w:cstheme="minorHAnsi"/>
          <w:bCs/>
          <w:shd w:val="clear" w:color="auto" w:fill="FFFFFF"/>
        </w:rPr>
        <w:t xml:space="preserve">destabilize the local market (a large influx might on its own). The point is to be aware of these limitations and review expectations in terms of outcomes / impact. Also, all the more, given the </w:t>
      </w:r>
      <w:r w:rsidRPr="00B71879">
        <w:rPr>
          <w:rFonts w:cstheme="minorHAnsi"/>
          <w:bCs/>
          <w:i/>
          <w:shd w:val="clear" w:color="auto" w:fill="FFFFFF"/>
        </w:rPr>
        <w:t xml:space="preserve">quality </w:t>
      </w:r>
      <w:r w:rsidRPr="00B71879">
        <w:rPr>
          <w:rFonts w:cstheme="minorHAnsi"/>
          <w:bCs/>
          <w:shd w:val="clear" w:color="auto" w:fill="FFFFFF"/>
        </w:rPr>
        <w:t xml:space="preserve">of the housing stock (supply), the technical standards must be integrated, so we do no harm. </w:t>
      </w:r>
    </w:p>
    <w:p w14:paraId="1542FD6B" w14:textId="264D23DF" w:rsidR="00A53C63" w:rsidRPr="00B71879" w:rsidRDefault="00A53C63" w:rsidP="00A53C63"/>
    <w:p w14:paraId="192F0A1F" w14:textId="77777777" w:rsidR="00C2582E" w:rsidRPr="00B71879" w:rsidRDefault="00C2582E" w:rsidP="00C2582E">
      <w:pPr>
        <w:rPr>
          <w:rFonts w:cstheme="minorHAnsi"/>
        </w:rPr>
      </w:pPr>
      <w:r w:rsidRPr="00B71879">
        <w:rPr>
          <w:rFonts w:cstheme="minorHAnsi"/>
          <w:bCs/>
          <w:shd w:val="clear" w:color="auto" w:fill="FFFFFF"/>
        </w:rPr>
        <w:t>Also to keep in mind is the scale of ou</w:t>
      </w:r>
      <w:r>
        <w:rPr>
          <w:rFonts w:cstheme="minorHAnsi"/>
          <w:bCs/>
          <w:shd w:val="clear" w:color="auto" w:fill="FFFFFF"/>
        </w:rPr>
        <w:t>r interventions. A small scale Cash-for-S</w:t>
      </w:r>
      <w:r w:rsidRPr="00B71879">
        <w:rPr>
          <w:rFonts w:cstheme="minorHAnsi"/>
          <w:bCs/>
          <w:shd w:val="clear" w:color="auto" w:fill="FFFFFF"/>
        </w:rPr>
        <w:t xml:space="preserve">helter (e.g. OFC) program, the supply side will not represent either a positive significant impact. Responding to the chronic shortage will be beyond the scope and capacity of any NRC project. </w:t>
      </w:r>
    </w:p>
    <w:p w14:paraId="349C9786" w14:textId="77777777" w:rsidR="00C2582E" w:rsidRDefault="00C2582E" w:rsidP="00782190">
      <w:pPr>
        <w:rPr>
          <w:rFonts w:cstheme="minorHAnsi"/>
          <w:bCs/>
          <w:shd w:val="clear" w:color="auto" w:fill="FFFFFF"/>
        </w:rPr>
      </w:pPr>
    </w:p>
    <w:p w14:paraId="6AB7BD75" w14:textId="29B58ADA" w:rsidR="00782190" w:rsidRPr="00E761A9" w:rsidRDefault="00782190" w:rsidP="00782190">
      <w:pPr>
        <w:rPr>
          <w:rFonts w:cstheme="minorHAnsi"/>
          <w:bCs/>
          <w:shd w:val="clear" w:color="auto" w:fill="FFFFFF"/>
        </w:rPr>
      </w:pPr>
      <w:r w:rsidRPr="00B71879">
        <w:rPr>
          <w:rFonts w:cstheme="minorHAnsi"/>
          <w:bCs/>
          <w:shd w:val="clear" w:color="auto" w:fill="FFFFFF"/>
        </w:rPr>
        <w:t xml:space="preserve">Yet, with the </w:t>
      </w:r>
      <w:r w:rsidRPr="00B71879">
        <w:rPr>
          <w:rFonts w:cstheme="minorHAnsi"/>
          <w:bCs/>
          <w:i/>
          <w:shd w:val="clear" w:color="auto" w:fill="FFFFFF"/>
        </w:rPr>
        <w:t xml:space="preserve">relatively very small scale </w:t>
      </w:r>
      <w:r w:rsidRPr="00B71879">
        <w:rPr>
          <w:rFonts w:cstheme="minorHAnsi"/>
          <w:bCs/>
          <w:shd w:val="clear" w:color="auto" w:fill="FFFFFF"/>
        </w:rPr>
        <w:t>of CfR programs, the market would not be affected negatively. Therefore, the key to react to the fact that CfR will not find a fully functional Local Shelter Market, the assumptions need to be reviewed, the expectations in terms of outputs and impact must also get in check, and the project design (value, length and reach of the assistance) also need to be carefully defined. Having said that, there is still a great opportunity and responsibility to provide shelter to families living in extreme vulnerable conditions. Participant families will take advantage of the benefi</w:t>
      </w:r>
      <w:r w:rsidR="00A53C63">
        <w:rPr>
          <w:rFonts w:cstheme="minorHAnsi"/>
          <w:bCs/>
          <w:shd w:val="clear" w:color="auto" w:fill="FFFFFF"/>
        </w:rPr>
        <w:t xml:space="preserve">ts a shelter response offers.  </w:t>
      </w:r>
    </w:p>
    <w:p w14:paraId="601AFA38" w14:textId="18466801" w:rsidR="000C0E46" w:rsidRDefault="000C0E46" w:rsidP="00782190">
      <w:pPr>
        <w:rPr>
          <w:rFonts w:cs="Arial"/>
          <w:bCs/>
          <w:shd w:val="clear" w:color="auto" w:fill="FFFFFF"/>
        </w:rPr>
      </w:pPr>
    </w:p>
    <w:p w14:paraId="62E701B0" w14:textId="77777777" w:rsidR="000C0E46" w:rsidRDefault="000C0E46" w:rsidP="000C0E46">
      <w:pPr>
        <w:pStyle w:val="Heading1"/>
      </w:pPr>
      <w:bookmarkStart w:id="48" w:name="_Toc523407972"/>
      <w:r>
        <w:t>ABBREVIATIONS</w:t>
      </w:r>
      <w:bookmarkEnd w:id="48"/>
    </w:p>
    <w:p w14:paraId="5338A516" w14:textId="77777777" w:rsidR="000C0E46" w:rsidRDefault="000C0E46" w:rsidP="000C0E46"/>
    <w:p w14:paraId="3F222944" w14:textId="36C2B3CE" w:rsidR="000C0E46" w:rsidRDefault="000C0E46" w:rsidP="000C0E46">
      <w:pPr>
        <w:spacing w:line="360" w:lineRule="auto"/>
      </w:pPr>
      <w:r>
        <w:t>CBI</w:t>
      </w:r>
      <w:r w:rsidR="00E13F43">
        <w:tab/>
      </w:r>
      <w:r w:rsidR="00696BEB">
        <w:tab/>
      </w:r>
      <w:r w:rsidR="00E13F43">
        <w:rPr>
          <w:rFonts w:cstheme="minorHAnsi"/>
        </w:rPr>
        <w:t>Bash-based interventions</w:t>
      </w:r>
    </w:p>
    <w:p w14:paraId="1C95DB3D" w14:textId="719E21AF" w:rsidR="000C0E46" w:rsidRDefault="000C0E46" w:rsidP="000C0E46">
      <w:pPr>
        <w:spacing w:line="360" w:lineRule="auto"/>
      </w:pPr>
      <w:r>
        <w:t>CfR</w:t>
      </w:r>
      <w:r w:rsidR="00E13F43">
        <w:tab/>
      </w:r>
      <w:r w:rsidR="00696BEB">
        <w:tab/>
      </w:r>
      <w:r w:rsidR="00E13F43">
        <w:rPr>
          <w:rFonts w:cstheme="minorHAnsi"/>
        </w:rPr>
        <w:t>Cash-for-</w:t>
      </w:r>
      <w:r w:rsidR="00E13F43" w:rsidRPr="00987B7B">
        <w:rPr>
          <w:rFonts w:cstheme="minorHAnsi"/>
        </w:rPr>
        <w:t>Rent</w:t>
      </w:r>
    </w:p>
    <w:p w14:paraId="3C087C37" w14:textId="5251CC1B" w:rsidR="000C0E46" w:rsidRDefault="000C0E46" w:rsidP="000C0E46">
      <w:pPr>
        <w:spacing w:line="360" w:lineRule="auto"/>
      </w:pPr>
      <w:r>
        <w:t>CfS</w:t>
      </w:r>
      <w:r w:rsidR="00E13F43">
        <w:tab/>
      </w:r>
      <w:r w:rsidR="00696BEB">
        <w:tab/>
      </w:r>
      <w:r w:rsidR="00E13F43">
        <w:rPr>
          <w:rFonts w:cstheme="minorHAnsi"/>
        </w:rPr>
        <w:t>Cash-for-Shelter</w:t>
      </w:r>
    </w:p>
    <w:p w14:paraId="5E57986E" w14:textId="307DB575" w:rsidR="00842B0F" w:rsidRDefault="000C0E46" w:rsidP="000C0E46">
      <w:pPr>
        <w:spacing w:line="360" w:lineRule="auto"/>
      </w:pPr>
      <w:r>
        <w:t>CfW</w:t>
      </w:r>
      <w:r w:rsidR="00E13F43">
        <w:tab/>
      </w:r>
      <w:r w:rsidR="00696BEB">
        <w:tab/>
      </w:r>
      <w:r w:rsidR="00E13F43">
        <w:rPr>
          <w:rFonts w:cstheme="minorHAnsi"/>
        </w:rPr>
        <w:t>Cash-for-Work</w:t>
      </w:r>
    </w:p>
    <w:p w14:paraId="0F2228DD" w14:textId="05CB2425" w:rsidR="008977D4" w:rsidRDefault="008977D4" w:rsidP="008977D4">
      <w:pPr>
        <w:spacing w:line="360" w:lineRule="auto"/>
      </w:pPr>
      <w:r>
        <w:rPr>
          <w:rFonts w:cstheme="minorHAnsi"/>
          <w:bCs/>
        </w:rPr>
        <w:t xml:space="preserve">ES/NFI </w:t>
      </w:r>
      <w:r>
        <w:rPr>
          <w:rFonts w:cstheme="minorHAnsi"/>
          <w:bCs/>
        </w:rPr>
        <w:tab/>
      </w:r>
      <w:r>
        <w:rPr>
          <w:rFonts w:cstheme="minorHAnsi"/>
          <w:bCs/>
        </w:rPr>
        <w:tab/>
        <w:t xml:space="preserve">Emergency </w:t>
      </w:r>
      <w:r w:rsidRPr="00A970E4">
        <w:rPr>
          <w:rFonts w:cstheme="minorHAnsi"/>
          <w:bCs/>
        </w:rPr>
        <w:t>Shelter</w:t>
      </w:r>
      <w:r>
        <w:rPr>
          <w:rFonts w:cstheme="minorHAnsi"/>
          <w:bCs/>
        </w:rPr>
        <w:t xml:space="preserve"> and Non-Food Items</w:t>
      </w:r>
      <w:r w:rsidRPr="00A970E4">
        <w:rPr>
          <w:rFonts w:cstheme="minorHAnsi"/>
          <w:bCs/>
        </w:rPr>
        <w:t xml:space="preserve"> Cluster</w:t>
      </w:r>
      <w:r>
        <w:rPr>
          <w:rFonts w:cstheme="minorHAnsi"/>
          <w:bCs/>
        </w:rPr>
        <w:t xml:space="preserve"> </w:t>
      </w:r>
    </w:p>
    <w:p w14:paraId="7ED39ADA" w14:textId="4B080E87" w:rsidR="00842B0F" w:rsidRDefault="00842B0F" w:rsidP="000C0E46">
      <w:pPr>
        <w:spacing w:line="360" w:lineRule="auto"/>
      </w:pPr>
      <w:r>
        <w:t>FHHH</w:t>
      </w:r>
      <w:r>
        <w:tab/>
      </w:r>
      <w:r w:rsidR="00696BEB">
        <w:tab/>
      </w:r>
      <w:r>
        <w:t>Female-headed household</w:t>
      </w:r>
    </w:p>
    <w:p w14:paraId="27FB54BB" w14:textId="06E8CD6A" w:rsidR="00F00C33" w:rsidRDefault="00F00C33" w:rsidP="000C0E46">
      <w:pPr>
        <w:spacing w:line="360" w:lineRule="auto"/>
      </w:pPr>
      <w:r w:rsidRPr="00B71879">
        <w:rPr>
          <w:rFonts w:cstheme="minorHAnsi"/>
          <w:bCs/>
          <w:shd w:val="clear" w:color="auto" w:fill="FFFFFF"/>
        </w:rPr>
        <w:t>GB</w:t>
      </w:r>
      <w:r w:rsidR="002A7CBB">
        <w:rPr>
          <w:rFonts w:cstheme="minorHAnsi"/>
          <w:bCs/>
          <w:shd w:val="clear" w:color="auto" w:fill="FFFFFF"/>
        </w:rPr>
        <w:t>V</w:t>
      </w:r>
      <w:r>
        <w:rPr>
          <w:rFonts w:cstheme="minorHAnsi"/>
          <w:bCs/>
          <w:shd w:val="clear" w:color="auto" w:fill="FFFFFF"/>
        </w:rPr>
        <w:tab/>
      </w:r>
      <w:r>
        <w:rPr>
          <w:rFonts w:cstheme="minorHAnsi"/>
          <w:bCs/>
          <w:shd w:val="clear" w:color="auto" w:fill="FFFFFF"/>
        </w:rPr>
        <w:tab/>
        <w:t>Gender-based violence</w:t>
      </w:r>
    </w:p>
    <w:p w14:paraId="7E079A5D" w14:textId="3609908D" w:rsidR="000C0E46" w:rsidRDefault="000C0E46" w:rsidP="000C0E46">
      <w:pPr>
        <w:spacing w:line="360" w:lineRule="auto"/>
      </w:pPr>
      <w:r>
        <w:t>GTB</w:t>
      </w:r>
      <w:r w:rsidR="001E0621">
        <w:tab/>
      </w:r>
      <w:r w:rsidR="001E0621">
        <w:tab/>
      </w:r>
      <w:r w:rsidR="001E0621">
        <w:rPr>
          <w:sz w:val="18"/>
          <w:szCs w:val="18"/>
        </w:rPr>
        <w:t>Grawee system</w:t>
      </w:r>
    </w:p>
    <w:p w14:paraId="57E743A0" w14:textId="5EB7B550" w:rsidR="00842B0F" w:rsidRDefault="00842B0F" w:rsidP="000C0E46">
      <w:pPr>
        <w:spacing w:line="360" w:lineRule="auto"/>
      </w:pPr>
      <w:r>
        <w:t xml:space="preserve">HH </w:t>
      </w:r>
      <w:r>
        <w:tab/>
      </w:r>
      <w:r w:rsidR="00696BEB">
        <w:tab/>
      </w:r>
      <w:r>
        <w:t>Household</w:t>
      </w:r>
    </w:p>
    <w:p w14:paraId="4D78170C" w14:textId="27C9EFC5" w:rsidR="00A47EB8" w:rsidRDefault="00A47EB8" w:rsidP="000C0E46">
      <w:pPr>
        <w:spacing w:line="360" w:lineRule="auto"/>
        <w:rPr>
          <w:color w:val="000000" w:themeColor="text1"/>
        </w:rPr>
      </w:pPr>
      <w:r w:rsidRPr="0082317B">
        <w:rPr>
          <w:color w:val="000000" w:themeColor="text1"/>
        </w:rPr>
        <w:t>IDP</w:t>
      </w:r>
      <w:r>
        <w:rPr>
          <w:color w:val="000000" w:themeColor="text1"/>
        </w:rPr>
        <w:tab/>
      </w:r>
      <w:r>
        <w:rPr>
          <w:color w:val="000000" w:themeColor="text1"/>
        </w:rPr>
        <w:tab/>
        <w:t>Internally Displaced People</w:t>
      </w:r>
    </w:p>
    <w:p w14:paraId="090015A3" w14:textId="6590555E" w:rsidR="006C4D89" w:rsidRPr="006C4D89" w:rsidRDefault="006C4D89" w:rsidP="006C4D89">
      <w:pPr>
        <w:spacing w:line="360" w:lineRule="auto"/>
        <w:rPr>
          <w:color w:val="000000" w:themeColor="text1"/>
        </w:rPr>
      </w:pPr>
      <w:r>
        <w:rPr>
          <w:color w:val="000000" w:themeColor="text1"/>
        </w:rPr>
        <w:t>ICLA</w:t>
      </w:r>
      <w:r>
        <w:rPr>
          <w:color w:val="000000" w:themeColor="text1"/>
        </w:rPr>
        <w:tab/>
      </w:r>
      <w:r>
        <w:rPr>
          <w:color w:val="000000" w:themeColor="text1"/>
        </w:rPr>
        <w:tab/>
      </w:r>
      <w:r w:rsidRPr="006C4D89">
        <w:rPr>
          <w:color w:val="000000" w:themeColor="text1"/>
        </w:rPr>
        <w:t>Information, Counselling and Legal Assistance</w:t>
      </w:r>
    </w:p>
    <w:p w14:paraId="008358D2" w14:textId="709F37AA" w:rsidR="00A47EB8" w:rsidRDefault="00A47EB8" w:rsidP="000C0E46">
      <w:pPr>
        <w:spacing w:line="360" w:lineRule="auto"/>
      </w:pPr>
      <w:r w:rsidRPr="00E3370E">
        <w:rPr>
          <w:color w:val="000000" w:themeColor="text1"/>
        </w:rPr>
        <w:t>IOM</w:t>
      </w:r>
      <w:r w:rsidR="00570B1D">
        <w:rPr>
          <w:color w:val="000000" w:themeColor="text1"/>
        </w:rPr>
        <w:tab/>
      </w:r>
      <w:r w:rsidR="00570B1D">
        <w:rPr>
          <w:color w:val="000000" w:themeColor="text1"/>
        </w:rPr>
        <w:tab/>
        <w:t>International Organization for Migration</w:t>
      </w:r>
    </w:p>
    <w:p w14:paraId="04B9CF2F" w14:textId="1EBE2AF9" w:rsidR="000C0E46" w:rsidRDefault="000C0E46" w:rsidP="000C0E46">
      <w:pPr>
        <w:spacing w:line="360" w:lineRule="auto"/>
      </w:pPr>
      <w:r>
        <w:t>NRC</w:t>
      </w:r>
      <w:r>
        <w:tab/>
      </w:r>
      <w:r w:rsidR="00696BEB">
        <w:tab/>
      </w:r>
      <w:r>
        <w:t xml:space="preserve">Norwegian Refugee Council </w:t>
      </w:r>
    </w:p>
    <w:p w14:paraId="674DF90A" w14:textId="3BAC4834" w:rsidR="000C0E46" w:rsidRDefault="000C0E46" w:rsidP="000C0E46">
      <w:pPr>
        <w:spacing w:line="360" w:lineRule="auto"/>
      </w:pPr>
      <w:r>
        <w:t>OFC</w:t>
      </w:r>
      <w:r w:rsidR="00B707E7">
        <w:tab/>
      </w:r>
      <w:r w:rsidR="00696BEB">
        <w:tab/>
      </w:r>
      <w:r w:rsidR="00B707E7">
        <w:t xml:space="preserve">Occupancy Free of Charge </w:t>
      </w:r>
    </w:p>
    <w:p w14:paraId="6010B3E5" w14:textId="4D1ED3F1" w:rsidR="000C0E46" w:rsidRDefault="00E13F43" w:rsidP="00696BEB">
      <w:pPr>
        <w:spacing w:line="360" w:lineRule="auto"/>
      </w:pPr>
      <w:r>
        <w:t>UCT</w:t>
      </w:r>
      <w:r>
        <w:tab/>
      </w:r>
      <w:r w:rsidR="00696BEB">
        <w:tab/>
      </w:r>
      <w:r w:rsidRPr="00987B7B">
        <w:rPr>
          <w:rFonts w:cstheme="minorHAnsi"/>
        </w:rPr>
        <w:t>Unc</w:t>
      </w:r>
      <w:r>
        <w:rPr>
          <w:rFonts w:cstheme="minorHAnsi"/>
        </w:rPr>
        <w:t>onditional Cash Transfers</w:t>
      </w:r>
    </w:p>
    <w:p w14:paraId="3426CB6C" w14:textId="79DB6F29" w:rsidR="00C003B5" w:rsidRDefault="00C003B5" w:rsidP="00696BEB">
      <w:pPr>
        <w:spacing w:line="360" w:lineRule="auto"/>
      </w:pPr>
      <w:r w:rsidRPr="000D5963">
        <w:rPr>
          <w:color w:val="000000" w:themeColor="text1"/>
        </w:rPr>
        <w:t>UDOC</w:t>
      </w:r>
      <w:r>
        <w:rPr>
          <w:color w:val="000000" w:themeColor="text1"/>
        </w:rPr>
        <w:tab/>
      </w:r>
      <w:r>
        <w:rPr>
          <w:color w:val="000000" w:themeColor="text1"/>
        </w:rPr>
        <w:tab/>
        <w:t>Urban Displacement and Outside of Camp</w:t>
      </w:r>
    </w:p>
    <w:p w14:paraId="77F9060A" w14:textId="1AB97DD6" w:rsidR="00696BEB" w:rsidRDefault="00696BEB" w:rsidP="00696BEB">
      <w:pPr>
        <w:spacing w:line="360" w:lineRule="auto"/>
        <w:rPr>
          <w:rFonts w:cstheme="minorHAnsi"/>
          <w:bCs/>
        </w:rPr>
      </w:pPr>
      <w:r>
        <w:t>UN-Habitat</w:t>
      </w:r>
      <w:r>
        <w:tab/>
      </w:r>
      <w:r>
        <w:rPr>
          <w:rFonts w:cstheme="minorHAnsi"/>
          <w:bCs/>
        </w:rPr>
        <w:t>United Nations Human Settlements Programme</w:t>
      </w:r>
    </w:p>
    <w:p w14:paraId="591D3BC7" w14:textId="50B062F4" w:rsidR="00E761A9" w:rsidRDefault="00E761A9" w:rsidP="00696BEB">
      <w:pPr>
        <w:spacing w:line="360" w:lineRule="auto"/>
        <w:rPr>
          <w:rFonts w:cstheme="minorHAnsi"/>
          <w:bCs/>
        </w:rPr>
      </w:pPr>
    </w:p>
    <w:p w14:paraId="6D986853" w14:textId="77777777" w:rsidR="00782190" w:rsidRDefault="00782190" w:rsidP="00782190">
      <w:pPr>
        <w:pStyle w:val="Heading1"/>
      </w:pPr>
      <w:bookmarkStart w:id="49" w:name="_Toc522906948"/>
      <w:bookmarkStart w:id="50" w:name="_Toc523407973"/>
      <w:r>
        <w:t>REFERENCES AND RESOURCES</w:t>
      </w:r>
      <w:bookmarkEnd w:id="49"/>
      <w:bookmarkEnd w:id="50"/>
    </w:p>
    <w:p w14:paraId="0AE7306A" w14:textId="77777777" w:rsidR="00782190" w:rsidRDefault="00782190" w:rsidP="00782190"/>
    <w:p w14:paraId="14591115" w14:textId="0B91B588" w:rsidR="00782190" w:rsidRPr="00144B82" w:rsidRDefault="00257D65" w:rsidP="002628EA">
      <w:pPr>
        <w:ind w:left="270" w:hanging="270"/>
        <w:jc w:val="left"/>
        <w:rPr>
          <w:szCs w:val="20"/>
        </w:rPr>
      </w:pPr>
      <w:r w:rsidRPr="00144B82">
        <w:rPr>
          <w:szCs w:val="20"/>
        </w:rPr>
        <w:t xml:space="preserve">Central statistics organization, </w:t>
      </w:r>
      <w:r w:rsidR="00B46C71" w:rsidRPr="00144B82">
        <w:rPr>
          <w:szCs w:val="20"/>
        </w:rPr>
        <w:t>Afghanistan spatial data center</w:t>
      </w:r>
      <w:r w:rsidRPr="00144B82">
        <w:rPr>
          <w:szCs w:val="20"/>
        </w:rPr>
        <w:t xml:space="preserve"> (2012) Provincial population data. </w:t>
      </w:r>
      <w:hyperlink r:id="rId15" w:history="1">
        <w:r w:rsidR="00782190" w:rsidRPr="00144B82">
          <w:rPr>
            <w:szCs w:val="20"/>
          </w:rPr>
          <w:t>http://cso.gov.af/Content/files/nangarhar(1).pdf</w:t>
        </w:r>
      </w:hyperlink>
      <w:r w:rsidRPr="00144B82">
        <w:rPr>
          <w:szCs w:val="20"/>
        </w:rPr>
        <w:t xml:space="preserve">, </w:t>
      </w:r>
      <w:hyperlink r:id="rId16" w:history="1">
        <w:r w:rsidR="00782190" w:rsidRPr="00144B82">
          <w:rPr>
            <w:szCs w:val="20"/>
          </w:rPr>
          <w:t>http://cso.gov.af/Content/files/Kunarha(1).pdf</w:t>
        </w:r>
      </w:hyperlink>
      <w:r w:rsidR="00144B82">
        <w:rPr>
          <w:szCs w:val="20"/>
        </w:rPr>
        <w:t xml:space="preserve"> </w:t>
      </w:r>
    </w:p>
    <w:p w14:paraId="37F118B0" w14:textId="77777777" w:rsidR="00782190" w:rsidRPr="00144B82" w:rsidRDefault="00782190" w:rsidP="002628EA">
      <w:pPr>
        <w:ind w:left="270" w:hanging="270"/>
        <w:jc w:val="left"/>
        <w:rPr>
          <w:szCs w:val="20"/>
        </w:rPr>
      </w:pPr>
    </w:p>
    <w:p w14:paraId="374CEB69" w14:textId="25677A63" w:rsidR="00782190" w:rsidRPr="00144B82" w:rsidRDefault="001B0803" w:rsidP="002628EA">
      <w:pPr>
        <w:ind w:left="270" w:hanging="270"/>
        <w:jc w:val="left"/>
        <w:rPr>
          <w:szCs w:val="20"/>
        </w:rPr>
      </w:pPr>
      <w:r w:rsidRPr="00144B82">
        <w:rPr>
          <w:szCs w:val="20"/>
        </w:rPr>
        <w:t xml:space="preserve">Government of the Islamic Republic of Afghanistan </w:t>
      </w:r>
      <w:r w:rsidR="00782190" w:rsidRPr="00144B82">
        <w:rPr>
          <w:szCs w:val="20"/>
        </w:rPr>
        <w:t>(2015) State of Afghan Cities Report 2015: Volume One Kabul:</w:t>
      </w:r>
      <w:r w:rsidR="00257D65" w:rsidRPr="00144B82">
        <w:rPr>
          <w:szCs w:val="20"/>
        </w:rPr>
        <w:t xml:space="preserve"> </w:t>
      </w:r>
      <w:r w:rsidR="00782190" w:rsidRPr="00144B82">
        <w:rPr>
          <w:szCs w:val="20"/>
        </w:rPr>
        <w:t xml:space="preserve">Government of Islamic Republic of Afghanistan (GoIRA). </w:t>
      </w:r>
      <w:hyperlink r:id="rId17" w:history="1">
        <w:r w:rsidR="00782190" w:rsidRPr="00144B82">
          <w:rPr>
            <w:szCs w:val="20"/>
          </w:rPr>
          <w:t>https://unhabitat.org/books/soac2015/</w:t>
        </w:r>
      </w:hyperlink>
      <w:r w:rsidR="00782190" w:rsidRPr="00144B82">
        <w:rPr>
          <w:szCs w:val="20"/>
        </w:rPr>
        <w:t xml:space="preserve"> </w:t>
      </w:r>
    </w:p>
    <w:p w14:paraId="35983FFC" w14:textId="288F1700" w:rsidR="00B511BC" w:rsidRPr="00144B82" w:rsidRDefault="00B511BC" w:rsidP="002628EA">
      <w:pPr>
        <w:ind w:left="270" w:hanging="270"/>
        <w:jc w:val="left"/>
        <w:rPr>
          <w:szCs w:val="20"/>
        </w:rPr>
      </w:pPr>
    </w:p>
    <w:p w14:paraId="44AE40AC" w14:textId="56B0AE19" w:rsidR="00512429" w:rsidRPr="00144B82" w:rsidRDefault="00512429" w:rsidP="002628EA">
      <w:pPr>
        <w:ind w:left="270" w:hanging="270"/>
        <w:jc w:val="left"/>
        <w:rPr>
          <w:szCs w:val="20"/>
          <w:lang w:val="sv-SE"/>
        </w:rPr>
      </w:pPr>
      <w:r w:rsidRPr="00144B82">
        <w:rPr>
          <w:szCs w:val="20"/>
        </w:rPr>
        <w:t>Government of the Islamic Republic of Afghanistan</w:t>
      </w:r>
      <w:r w:rsidR="001B0803" w:rsidRPr="00144B82">
        <w:rPr>
          <w:szCs w:val="20"/>
        </w:rPr>
        <w:t xml:space="preserve"> (</w:t>
      </w:r>
      <w:r w:rsidRPr="00144B82">
        <w:rPr>
          <w:szCs w:val="20"/>
        </w:rPr>
        <w:t>2016</w:t>
      </w:r>
      <w:r w:rsidR="001B0803" w:rsidRPr="00144B82">
        <w:rPr>
          <w:szCs w:val="20"/>
        </w:rPr>
        <w:t>)</w:t>
      </w:r>
      <w:r w:rsidRPr="00144B82">
        <w:rPr>
          <w:szCs w:val="20"/>
        </w:rPr>
        <w:t xml:space="preserve">. Atlas of Afghan City Regions </w:t>
      </w:r>
      <w:r w:rsidR="009953FC" w:rsidRPr="00144B82">
        <w:rPr>
          <w:szCs w:val="20"/>
        </w:rPr>
        <w:t>(</w:t>
      </w:r>
      <w:r w:rsidRPr="00144B82">
        <w:rPr>
          <w:szCs w:val="20"/>
        </w:rPr>
        <w:t>2016</w:t>
      </w:r>
      <w:r w:rsidR="009953FC" w:rsidRPr="00144B82">
        <w:rPr>
          <w:szCs w:val="20"/>
        </w:rPr>
        <w:t>)</w:t>
      </w:r>
      <w:r w:rsidRPr="00144B82">
        <w:rPr>
          <w:szCs w:val="20"/>
        </w:rPr>
        <w:t xml:space="preserve">. </w:t>
      </w:r>
      <w:r w:rsidRPr="00144B82">
        <w:rPr>
          <w:szCs w:val="20"/>
          <w:lang w:val="sv-SE"/>
        </w:rPr>
        <w:t xml:space="preserve">GoIRA: Kabul </w:t>
      </w:r>
      <w:r w:rsidR="009953FC" w:rsidRPr="00144B82">
        <w:rPr>
          <w:szCs w:val="20"/>
          <w:lang w:val="sv-SE"/>
        </w:rPr>
        <w:t>https://unhabitat.org/atlas-of-afghan-city-regions-2016/</w:t>
      </w:r>
    </w:p>
    <w:p w14:paraId="631BE8AD" w14:textId="77777777" w:rsidR="00512429" w:rsidRPr="00144B82" w:rsidRDefault="00512429" w:rsidP="002628EA">
      <w:pPr>
        <w:ind w:left="270" w:hanging="270"/>
        <w:jc w:val="left"/>
        <w:rPr>
          <w:szCs w:val="20"/>
          <w:lang w:val="sv-SE"/>
        </w:rPr>
      </w:pPr>
    </w:p>
    <w:p w14:paraId="6ED979AC" w14:textId="77777777" w:rsidR="00BF4C80" w:rsidRPr="00144B82" w:rsidRDefault="00B511BC" w:rsidP="002628EA">
      <w:pPr>
        <w:ind w:left="270" w:hanging="270"/>
        <w:jc w:val="left"/>
        <w:rPr>
          <w:szCs w:val="20"/>
        </w:rPr>
      </w:pPr>
      <w:r w:rsidRPr="00144B82">
        <w:rPr>
          <w:szCs w:val="20"/>
        </w:rPr>
        <w:t>IOM (2017) Baseline mobility assessment</w:t>
      </w:r>
      <w:r w:rsidR="00BF4C80" w:rsidRPr="00144B82">
        <w:rPr>
          <w:szCs w:val="20"/>
        </w:rPr>
        <w:t xml:space="preserve"> Summary Findings Report</w:t>
      </w:r>
    </w:p>
    <w:p w14:paraId="1BE20A2F" w14:textId="5313D12B" w:rsidR="00B511BC" w:rsidRPr="00144B82" w:rsidRDefault="00F210F8" w:rsidP="002628EA">
      <w:pPr>
        <w:ind w:left="270"/>
        <w:jc w:val="left"/>
        <w:rPr>
          <w:szCs w:val="20"/>
        </w:rPr>
      </w:pPr>
      <w:hyperlink r:id="rId18" w:history="1">
        <w:r w:rsidRPr="00144B82">
          <w:rPr>
            <w:rStyle w:val="Hyperlink"/>
            <w:color w:val="auto"/>
            <w:szCs w:val="20"/>
            <w:u w:val="none"/>
          </w:rPr>
          <w:t>https://www.iom.int/dtm-afghanistan-baseline-mobility-assessment-summary-results-june-2017</w:t>
        </w:r>
      </w:hyperlink>
    </w:p>
    <w:p w14:paraId="11126E40" w14:textId="25375F7C" w:rsidR="001B0803" w:rsidRPr="00144B82" w:rsidRDefault="001B0803" w:rsidP="00257D65">
      <w:pPr>
        <w:ind w:left="270" w:hanging="270"/>
        <w:jc w:val="left"/>
        <w:rPr>
          <w:szCs w:val="20"/>
        </w:rPr>
      </w:pPr>
    </w:p>
    <w:p w14:paraId="4937867C" w14:textId="77777777" w:rsidR="0098014A" w:rsidRPr="00144B82" w:rsidRDefault="0098014A" w:rsidP="0098014A">
      <w:pPr>
        <w:ind w:left="360" w:hanging="360"/>
        <w:jc w:val="left"/>
        <w:rPr>
          <w:rStyle w:val="Hyperlink"/>
          <w:rFonts w:cstheme="minorHAnsi"/>
          <w:color w:val="auto"/>
          <w:szCs w:val="20"/>
          <w:u w:val="none"/>
        </w:rPr>
      </w:pPr>
      <w:r w:rsidRPr="00144B82">
        <w:rPr>
          <w:rFonts w:cstheme="minorHAnsi"/>
          <w:szCs w:val="20"/>
        </w:rPr>
        <w:t xml:space="preserve">Juillard, Helene (2017), CaLP, </w:t>
      </w:r>
      <w:r w:rsidRPr="00144B82">
        <w:rPr>
          <w:rFonts w:cstheme="minorHAnsi"/>
          <w:i/>
          <w:szCs w:val="20"/>
        </w:rPr>
        <w:t xml:space="preserve">Minimum Standard for Market Analysis (MISMA) </w:t>
      </w:r>
      <w:hyperlink r:id="rId19" w:history="1">
        <w:r w:rsidRPr="00144B82">
          <w:rPr>
            <w:rStyle w:val="Hyperlink"/>
            <w:rFonts w:cstheme="minorHAnsi"/>
            <w:color w:val="auto"/>
            <w:szCs w:val="20"/>
            <w:u w:val="none"/>
          </w:rPr>
          <w:t>http://www.cashlearning.org/downloads/calp-misma-en-web.pdf</w:t>
        </w:r>
      </w:hyperlink>
    </w:p>
    <w:p w14:paraId="5856E453" w14:textId="77777777" w:rsidR="0098014A" w:rsidRPr="00144B82" w:rsidRDefault="0098014A" w:rsidP="002628EA">
      <w:pPr>
        <w:ind w:left="270" w:hanging="270"/>
        <w:jc w:val="left"/>
        <w:rPr>
          <w:szCs w:val="20"/>
        </w:rPr>
      </w:pPr>
    </w:p>
    <w:p w14:paraId="38D6246A" w14:textId="6889E983" w:rsidR="00782190" w:rsidRPr="00144B82" w:rsidRDefault="00782190" w:rsidP="002628EA">
      <w:pPr>
        <w:ind w:left="270" w:hanging="270"/>
        <w:jc w:val="left"/>
        <w:rPr>
          <w:szCs w:val="20"/>
        </w:rPr>
      </w:pPr>
      <w:r w:rsidRPr="00144B82">
        <w:rPr>
          <w:szCs w:val="20"/>
        </w:rPr>
        <w:t xml:space="preserve">Merrill, L. et al. (2006) An Introduction to Afghanistan Culture. </w:t>
      </w:r>
      <w:hyperlink r:id="rId20" w:history="1">
        <w:r w:rsidRPr="00144B82">
          <w:rPr>
            <w:szCs w:val="20"/>
          </w:rPr>
          <w:t>http://afghanag.ucdavis.edu/country-info/files/afghan-culture-manual.pdf</w:t>
        </w:r>
      </w:hyperlink>
      <w:r w:rsidRPr="00144B82">
        <w:rPr>
          <w:szCs w:val="20"/>
        </w:rPr>
        <w:t xml:space="preserve"> </w:t>
      </w:r>
      <w:hyperlink r:id="rId21" w:history="1">
        <w:r w:rsidRPr="00144B82">
          <w:rPr>
            <w:szCs w:val="20"/>
          </w:rPr>
          <w:t>http://eafghanag.ucdavis.edu/country-info/culture-and-working-locally/Man_Afghan_Culture_CWTI.pdf</w:t>
        </w:r>
      </w:hyperlink>
      <w:r w:rsidRPr="00144B82">
        <w:rPr>
          <w:szCs w:val="20"/>
        </w:rPr>
        <w:t xml:space="preserve"> . </w:t>
      </w:r>
    </w:p>
    <w:p w14:paraId="0A3FCB41" w14:textId="77777777" w:rsidR="00782190" w:rsidRPr="00144B82" w:rsidRDefault="00782190" w:rsidP="002628EA">
      <w:pPr>
        <w:ind w:left="270" w:hanging="270"/>
        <w:jc w:val="left"/>
        <w:rPr>
          <w:szCs w:val="20"/>
        </w:rPr>
      </w:pPr>
    </w:p>
    <w:p w14:paraId="20A1C2C4" w14:textId="1A7AA8E5" w:rsidR="00B81578" w:rsidRPr="00144B82" w:rsidRDefault="00B81578" w:rsidP="002628EA">
      <w:pPr>
        <w:ind w:left="270" w:hanging="270"/>
        <w:jc w:val="left"/>
        <w:rPr>
          <w:szCs w:val="20"/>
        </w:rPr>
      </w:pPr>
      <w:r w:rsidRPr="00144B82">
        <w:rPr>
          <w:szCs w:val="20"/>
        </w:rPr>
        <w:t>NRC</w:t>
      </w:r>
      <w:r w:rsidR="001B0803" w:rsidRPr="00144B82">
        <w:rPr>
          <w:szCs w:val="20"/>
        </w:rPr>
        <w:t xml:space="preserve"> (</w:t>
      </w:r>
      <w:r w:rsidRPr="00144B82">
        <w:rPr>
          <w:szCs w:val="20"/>
        </w:rPr>
        <w:t>2013</w:t>
      </w:r>
      <w:r w:rsidR="001B0803" w:rsidRPr="00144B82">
        <w:rPr>
          <w:szCs w:val="20"/>
        </w:rPr>
        <w:t>)</w:t>
      </w:r>
      <w:r w:rsidRPr="00144B82">
        <w:rPr>
          <w:szCs w:val="20"/>
        </w:rPr>
        <w:t>, Emergency Cash for Shelter Pilot Project: Afghanistan – Evaluation</w:t>
      </w:r>
    </w:p>
    <w:p w14:paraId="4023522D" w14:textId="77777777" w:rsidR="00B81578" w:rsidRPr="00144B82" w:rsidRDefault="00B81578" w:rsidP="002628EA">
      <w:pPr>
        <w:ind w:left="270" w:hanging="270"/>
        <w:jc w:val="left"/>
        <w:rPr>
          <w:szCs w:val="20"/>
        </w:rPr>
      </w:pPr>
    </w:p>
    <w:p w14:paraId="6B754AB3" w14:textId="261A6E71" w:rsidR="00680945" w:rsidRPr="00144B82" w:rsidRDefault="00680945" w:rsidP="002628EA">
      <w:pPr>
        <w:ind w:left="270" w:hanging="270"/>
        <w:jc w:val="left"/>
        <w:rPr>
          <w:szCs w:val="20"/>
        </w:rPr>
      </w:pPr>
      <w:r w:rsidRPr="00144B82">
        <w:rPr>
          <w:szCs w:val="20"/>
        </w:rPr>
        <w:t>NRC</w:t>
      </w:r>
      <w:r w:rsidR="001B0803" w:rsidRPr="00144B82">
        <w:rPr>
          <w:szCs w:val="20"/>
        </w:rPr>
        <w:t xml:space="preserve"> (</w:t>
      </w:r>
      <w:r w:rsidRPr="00144B82">
        <w:rPr>
          <w:szCs w:val="20"/>
        </w:rPr>
        <w:t>2016</w:t>
      </w:r>
      <w:r w:rsidR="001B0803" w:rsidRPr="00144B82">
        <w:rPr>
          <w:szCs w:val="20"/>
        </w:rPr>
        <w:t>)</w:t>
      </w:r>
      <w:r w:rsidRPr="00144B82">
        <w:rPr>
          <w:szCs w:val="20"/>
        </w:rPr>
        <w:t xml:space="preserve"> Access to Tazkera and other civil documentation </w:t>
      </w:r>
      <w:hyperlink r:id="rId22" w:history="1">
        <w:r w:rsidRPr="00144B82">
          <w:rPr>
            <w:szCs w:val="20"/>
          </w:rPr>
          <w:t>https://www.nrc.no/globalassets/pdf/reports/af_civil-documentation-study_081116.pdf</w:t>
        </w:r>
      </w:hyperlink>
    </w:p>
    <w:p w14:paraId="0BCBD76C" w14:textId="77777777" w:rsidR="00680945" w:rsidRPr="00144B82" w:rsidRDefault="00680945" w:rsidP="002628EA">
      <w:pPr>
        <w:ind w:left="270" w:hanging="270"/>
        <w:jc w:val="left"/>
        <w:rPr>
          <w:szCs w:val="20"/>
        </w:rPr>
      </w:pPr>
    </w:p>
    <w:p w14:paraId="3BB53DFF" w14:textId="5DEF61CC" w:rsidR="00F31E6A" w:rsidRPr="00144B82" w:rsidRDefault="00782190" w:rsidP="002628EA">
      <w:pPr>
        <w:ind w:left="270" w:hanging="270"/>
        <w:jc w:val="left"/>
        <w:rPr>
          <w:szCs w:val="20"/>
        </w:rPr>
      </w:pPr>
      <w:r w:rsidRPr="00144B82">
        <w:rPr>
          <w:szCs w:val="20"/>
        </w:rPr>
        <w:t>ODI</w:t>
      </w:r>
      <w:r w:rsidR="00F31E6A" w:rsidRPr="00144B82">
        <w:rPr>
          <w:szCs w:val="20"/>
        </w:rPr>
        <w:t xml:space="preserve"> </w:t>
      </w:r>
      <w:r w:rsidR="001B0803" w:rsidRPr="00144B82">
        <w:rPr>
          <w:szCs w:val="20"/>
        </w:rPr>
        <w:t xml:space="preserve">(2018) </w:t>
      </w:r>
      <w:r w:rsidR="00F31E6A" w:rsidRPr="00144B82">
        <w:rPr>
          <w:szCs w:val="20"/>
        </w:rPr>
        <w:t>Urban humanitarian response: challenges and opportunities</w:t>
      </w:r>
      <w:r w:rsidR="001B0803" w:rsidRPr="00144B82">
        <w:rPr>
          <w:szCs w:val="20"/>
        </w:rPr>
        <w:t xml:space="preserve">. Public event, March 27, 2018 </w:t>
      </w:r>
    </w:p>
    <w:p w14:paraId="4C6540CC" w14:textId="2DB7DEBA" w:rsidR="00782190" w:rsidRPr="00144B82" w:rsidRDefault="00C446F2" w:rsidP="002628EA">
      <w:pPr>
        <w:ind w:left="270"/>
        <w:jc w:val="left"/>
        <w:rPr>
          <w:szCs w:val="20"/>
        </w:rPr>
      </w:pPr>
      <w:hyperlink r:id="rId23" w:history="1">
        <w:r w:rsidR="00782190" w:rsidRPr="00144B82">
          <w:rPr>
            <w:szCs w:val="20"/>
          </w:rPr>
          <w:t>https://www.odi.org/events/4542-urban-humanitarian-response-challenges-and-opportunities</w:t>
        </w:r>
      </w:hyperlink>
    </w:p>
    <w:p w14:paraId="6373B730" w14:textId="77777777" w:rsidR="00782190" w:rsidRPr="00144B82" w:rsidRDefault="00782190" w:rsidP="002628EA">
      <w:pPr>
        <w:ind w:left="270" w:hanging="270"/>
        <w:jc w:val="left"/>
        <w:rPr>
          <w:szCs w:val="20"/>
        </w:rPr>
      </w:pPr>
    </w:p>
    <w:p w14:paraId="6947878C" w14:textId="0EF0F6BF" w:rsidR="00782190" w:rsidRPr="00144B82" w:rsidRDefault="00782190" w:rsidP="002628EA">
      <w:pPr>
        <w:ind w:left="270" w:hanging="270"/>
        <w:jc w:val="left"/>
        <w:rPr>
          <w:szCs w:val="20"/>
        </w:rPr>
      </w:pPr>
      <w:r w:rsidRPr="00144B82">
        <w:rPr>
          <w:szCs w:val="20"/>
        </w:rPr>
        <w:t>OHCHR</w:t>
      </w:r>
      <w:r w:rsidR="009953FC" w:rsidRPr="00144B82">
        <w:rPr>
          <w:szCs w:val="20"/>
        </w:rPr>
        <w:t>,</w:t>
      </w:r>
      <w:r w:rsidRPr="00144B82">
        <w:rPr>
          <w:szCs w:val="20"/>
        </w:rPr>
        <w:t xml:space="preserve"> UN</w:t>
      </w:r>
      <w:r w:rsidR="001B0803" w:rsidRPr="00144B82">
        <w:rPr>
          <w:szCs w:val="20"/>
        </w:rPr>
        <w:t>-Habitat</w:t>
      </w:r>
      <w:r w:rsidR="009953FC" w:rsidRPr="00144B82">
        <w:rPr>
          <w:szCs w:val="20"/>
        </w:rPr>
        <w:t xml:space="preserve"> (2009)</w:t>
      </w:r>
      <w:r w:rsidRPr="00144B82">
        <w:rPr>
          <w:szCs w:val="20"/>
        </w:rPr>
        <w:t xml:space="preserve"> The Right to Adequate Housing</w:t>
      </w:r>
    </w:p>
    <w:p w14:paraId="78280143" w14:textId="4D36B5F5" w:rsidR="00782190" w:rsidRPr="00144B82" w:rsidRDefault="00C446F2" w:rsidP="002628EA">
      <w:pPr>
        <w:ind w:left="270"/>
        <w:jc w:val="left"/>
        <w:rPr>
          <w:szCs w:val="20"/>
        </w:rPr>
      </w:pPr>
      <w:hyperlink r:id="rId24" w:history="1">
        <w:r w:rsidR="00782190" w:rsidRPr="00144B82">
          <w:rPr>
            <w:szCs w:val="20"/>
          </w:rPr>
          <w:t>http://www.ohchr.org/Documents/Publications/FS21_rev_1_Housing_en.pdf</w:t>
        </w:r>
      </w:hyperlink>
      <w:r w:rsidR="00782190" w:rsidRPr="00144B82">
        <w:rPr>
          <w:szCs w:val="20"/>
        </w:rPr>
        <w:t xml:space="preserve"> </w:t>
      </w:r>
    </w:p>
    <w:p w14:paraId="31C56DC3" w14:textId="77777777" w:rsidR="00782190" w:rsidRPr="00144B82" w:rsidRDefault="00782190" w:rsidP="002628EA">
      <w:pPr>
        <w:ind w:left="270" w:hanging="270"/>
        <w:jc w:val="left"/>
        <w:rPr>
          <w:szCs w:val="20"/>
        </w:rPr>
      </w:pPr>
    </w:p>
    <w:p w14:paraId="7E10A695" w14:textId="1F7B7113" w:rsidR="00782190" w:rsidRPr="00144B82" w:rsidRDefault="00782190" w:rsidP="009726B4">
      <w:pPr>
        <w:ind w:left="270" w:hanging="270"/>
        <w:jc w:val="left"/>
        <w:rPr>
          <w:szCs w:val="20"/>
        </w:rPr>
      </w:pPr>
      <w:r w:rsidRPr="00144B82">
        <w:rPr>
          <w:szCs w:val="20"/>
        </w:rPr>
        <w:t xml:space="preserve">REACH (2018) Hard-to-Reach Assessment - Round One fact sheet, </w:t>
      </w:r>
      <w:hyperlink r:id="rId25" w:history="1">
        <w:r w:rsidRPr="00144B82">
          <w:rPr>
            <w:szCs w:val="20"/>
          </w:rPr>
          <w:t>http://www.reachresourcecentre.info/system/files/resource-documents/reach_afg_factsheet_hard_to_reach_assessment_first_quarter_april_2018_0.pdf</w:t>
        </w:r>
      </w:hyperlink>
      <w:r w:rsidRPr="00144B82">
        <w:rPr>
          <w:szCs w:val="20"/>
        </w:rPr>
        <w:t xml:space="preserve"> </w:t>
      </w:r>
    </w:p>
    <w:p w14:paraId="5DADBB65" w14:textId="77777777" w:rsidR="0098014A" w:rsidRPr="00144B82" w:rsidRDefault="0098014A" w:rsidP="009726B4">
      <w:pPr>
        <w:ind w:left="270" w:hanging="270"/>
        <w:jc w:val="left"/>
        <w:rPr>
          <w:szCs w:val="20"/>
        </w:rPr>
      </w:pPr>
    </w:p>
    <w:p w14:paraId="21C3EC72" w14:textId="77777777" w:rsidR="0098014A" w:rsidRPr="00144B82" w:rsidRDefault="0098014A" w:rsidP="0098014A">
      <w:pPr>
        <w:pStyle w:val="FootnoteText"/>
        <w:ind w:left="360" w:hanging="360"/>
        <w:rPr>
          <w:rFonts w:cstheme="minorHAnsi"/>
          <w:i/>
        </w:rPr>
      </w:pPr>
      <w:r w:rsidRPr="00144B82">
        <w:rPr>
          <w:rFonts w:cstheme="minorHAnsi"/>
        </w:rPr>
        <w:t xml:space="preserve">Shelter Working Group Jordan, (2015), </w:t>
      </w:r>
      <w:r w:rsidRPr="00144B82">
        <w:rPr>
          <w:rFonts w:cstheme="minorHAnsi"/>
          <w:i/>
        </w:rPr>
        <w:t>Technical Guidelines: Conditional Cash for Rent</w:t>
      </w:r>
    </w:p>
    <w:p w14:paraId="74529718" w14:textId="6CFAF532" w:rsidR="0098014A" w:rsidRPr="00144B82" w:rsidRDefault="0098014A" w:rsidP="002628EA">
      <w:pPr>
        <w:ind w:left="360" w:hanging="90"/>
        <w:jc w:val="left"/>
        <w:rPr>
          <w:rStyle w:val="Hyperlink"/>
          <w:rFonts w:cstheme="minorHAnsi"/>
          <w:color w:val="auto"/>
          <w:szCs w:val="20"/>
          <w:u w:val="none"/>
        </w:rPr>
      </w:pPr>
      <w:hyperlink r:id="rId26" w:history="1">
        <w:r w:rsidRPr="00144B82">
          <w:rPr>
            <w:rStyle w:val="Hyperlink"/>
            <w:rFonts w:cstheme="minorHAnsi"/>
            <w:color w:val="auto"/>
            <w:szCs w:val="20"/>
            <w:u w:val="none"/>
          </w:rPr>
          <w:t>https://www.sheltercluster.org/sites/default/files/docs/33_swg-technicalguidelines-conditionalcashforrent-shelterwg-march2015.pdf</w:t>
        </w:r>
      </w:hyperlink>
    </w:p>
    <w:p w14:paraId="5FD38CAD" w14:textId="2CAD3C0E" w:rsidR="00782190" w:rsidRPr="00144B82" w:rsidRDefault="00782190" w:rsidP="002628EA">
      <w:pPr>
        <w:ind w:left="270" w:hanging="270"/>
        <w:jc w:val="left"/>
        <w:rPr>
          <w:szCs w:val="20"/>
        </w:rPr>
      </w:pPr>
    </w:p>
    <w:p w14:paraId="51C8AE13" w14:textId="77777777" w:rsidR="00782190" w:rsidRPr="00144B82" w:rsidRDefault="00782190" w:rsidP="002628EA">
      <w:pPr>
        <w:ind w:left="270" w:hanging="270"/>
        <w:jc w:val="left"/>
        <w:rPr>
          <w:szCs w:val="20"/>
        </w:rPr>
      </w:pPr>
      <w:r w:rsidRPr="00144B82">
        <w:rPr>
          <w:szCs w:val="20"/>
        </w:rPr>
        <w:t xml:space="preserve">Shelter Cluster Ukraine (2015), Technical Working Group (TWIG) on Shelter &amp; NFIs monetization, Recommendations on Cash for Rent Activities in Ukraine.  </w:t>
      </w:r>
      <w:hyperlink r:id="rId27" w:history="1">
        <w:r w:rsidRPr="00144B82">
          <w:rPr>
            <w:szCs w:val="20"/>
          </w:rPr>
          <w:t>https://www.sheltercluster.org/sites/default/files/docs/recommendations_on_cash_for_rent.pdf</w:t>
        </w:r>
      </w:hyperlink>
      <w:r w:rsidRPr="00144B82">
        <w:rPr>
          <w:szCs w:val="20"/>
        </w:rPr>
        <w:t xml:space="preserve"> </w:t>
      </w:r>
    </w:p>
    <w:p w14:paraId="1ACAF7F4" w14:textId="77777777" w:rsidR="00782190" w:rsidRPr="00144B82" w:rsidRDefault="00782190" w:rsidP="002628EA">
      <w:pPr>
        <w:ind w:left="270" w:hanging="270"/>
        <w:jc w:val="left"/>
        <w:rPr>
          <w:szCs w:val="20"/>
        </w:rPr>
      </w:pPr>
    </w:p>
    <w:p w14:paraId="77971870" w14:textId="2FFCD337" w:rsidR="00782190" w:rsidRPr="00144B82" w:rsidRDefault="00782190" w:rsidP="002628EA">
      <w:pPr>
        <w:ind w:left="270" w:hanging="270"/>
        <w:jc w:val="left"/>
        <w:rPr>
          <w:szCs w:val="20"/>
        </w:rPr>
      </w:pPr>
      <w:r w:rsidRPr="00144B82">
        <w:rPr>
          <w:szCs w:val="20"/>
        </w:rPr>
        <w:t xml:space="preserve">Hall, </w:t>
      </w:r>
      <w:r w:rsidR="001B0803" w:rsidRPr="00144B82">
        <w:rPr>
          <w:szCs w:val="20"/>
        </w:rPr>
        <w:t>Samuel</w:t>
      </w:r>
      <w:r w:rsidR="00F210F8" w:rsidRPr="00144B82">
        <w:rPr>
          <w:szCs w:val="20"/>
        </w:rPr>
        <w:t xml:space="preserve"> (2018)</w:t>
      </w:r>
      <w:r w:rsidR="001B0803" w:rsidRPr="00144B82">
        <w:rPr>
          <w:szCs w:val="20"/>
        </w:rPr>
        <w:t xml:space="preserve"> </w:t>
      </w:r>
      <w:r w:rsidRPr="00144B82">
        <w:rPr>
          <w:szCs w:val="20"/>
        </w:rPr>
        <w:t>NRC The Road to Early Recovery: Returning from Pakistan</w:t>
      </w:r>
      <w:r w:rsidR="001B0803" w:rsidRPr="00144B82">
        <w:rPr>
          <w:szCs w:val="20"/>
        </w:rPr>
        <w:t xml:space="preserve"> (forthcoming 2018)</w:t>
      </w:r>
    </w:p>
    <w:p w14:paraId="7A9187DB" w14:textId="77777777" w:rsidR="00782190" w:rsidRPr="00144B82" w:rsidRDefault="00782190" w:rsidP="002628EA">
      <w:pPr>
        <w:ind w:left="270" w:hanging="270"/>
        <w:jc w:val="left"/>
        <w:rPr>
          <w:szCs w:val="20"/>
        </w:rPr>
      </w:pPr>
    </w:p>
    <w:p w14:paraId="53DB3FF8" w14:textId="77777777" w:rsidR="002A7CBB" w:rsidRPr="00144B82" w:rsidRDefault="002A7CBB" w:rsidP="002A7CBB">
      <w:pPr>
        <w:ind w:left="270" w:hanging="270"/>
        <w:jc w:val="left"/>
        <w:rPr>
          <w:szCs w:val="20"/>
        </w:rPr>
      </w:pPr>
      <w:r w:rsidRPr="00144B82">
        <w:rPr>
          <w:szCs w:val="20"/>
        </w:rPr>
        <w:t xml:space="preserve">UN-Habitat, Ministry of Urban Development and Housing (2017) Afghanistan Housing Profile  </w:t>
      </w:r>
      <w:hyperlink r:id="rId28" w:history="1">
        <w:r w:rsidRPr="00144B82">
          <w:rPr>
            <w:szCs w:val="20"/>
          </w:rPr>
          <w:t>https://unhabitat.org/books/afghanistan-housing-profile/</w:t>
        </w:r>
      </w:hyperlink>
      <w:r w:rsidRPr="00144B82">
        <w:rPr>
          <w:szCs w:val="20"/>
        </w:rPr>
        <w:t xml:space="preserve"> </w:t>
      </w:r>
    </w:p>
    <w:p w14:paraId="21F60826" w14:textId="77777777" w:rsidR="002A7CBB" w:rsidRPr="00144B82" w:rsidRDefault="002A7CBB" w:rsidP="009726B4">
      <w:pPr>
        <w:ind w:left="270" w:hanging="270"/>
        <w:jc w:val="left"/>
        <w:rPr>
          <w:szCs w:val="20"/>
        </w:rPr>
      </w:pPr>
    </w:p>
    <w:p w14:paraId="3C15D079" w14:textId="1D31FE50" w:rsidR="00782190" w:rsidRPr="00144B82" w:rsidRDefault="00782190" w:rsidP="002628EA">
      <w:pPr>
        <w:ind w:left="270" w:hanging="270"/>
        <w:jc w:val="left"/>
        <w:rPr>
          <w:szCs w:val="20"/>
        </w:rPr>
      </w:pPr>
      <w:r w:rsidRPr="00144B82">
        <w:rPr>
          <w:szCs w:val="20"/>
        </w:rPr>
        <w:t xml:space="preserve">UNHCR, Save the Children (2017) Multi-Sector Market Assessment (MSMA): Charcoal, water, low-income rental housing and core-relief items in Maiduguri, Jere and Konduga, Borno State, Nigeria. </w:t>
      </w:r>
      <w:hyperlink r:id="rId29" w:history="1">
        <w:r w:rsidRPr="00144B82">
          <w:rPr>
            <w:szCs w:val="20"/>
          </w:rPr>
          <w:t>http://www.unhcr.org/5a05b54d7.pdf</w:t>
        </w:r>
      </w:hyperlink>
      <w:r w:rsidRPr="00144B82">
        <w:rPr>
          <w:szCs w:val="20"/>
        </w:rPr>
        <w:t xml:space="preserve">  </w:t>
      </w:r>
    </w:p>
    <w:p w14:paraId="2BEB8BCC" w14:textId="77777777" w:rsidR="00782190" w:rsidRPr="00144B82" w:rsidRDefault="00782190">
      <w:pPr>
        <w:ind w:left="270" w:hanging="270"/>
        <w:jc w:val="left"/>
        <w:rPr>
          <w:szCs w:val="20"/>
        </w:rPr>
      </w:pPr>
    </w:p>
    <w:p w14:paraId="6721B4EA" w14:textId="77777777" w:rsidR="002A7CBB" w:rsidRPr="00144B82" w:rsidRDefault="002A7CBB" w:rsidP="002A7CBB">
      <w:pPr>
        <w:ind w:left="360" w:hanging="360"/>
        <w:jc w:val="left"/>
        <w:rPr>
          <w:rStyle w:val="A8"/>
          <w:rFonts w:cstheme="minorHAnsi"/>
          <w:color w:val="auto"/>
        </w:rPr>
      </w:pPr>
      <w:r w:rsidRPr="00144B82">
        <w:rPr>
          <w:rStyle w:val="A8"/>
          <w:rFonts w:cstheme="minorHAnsi"/>
          <w:color w:val="auto"/>
        </w:rPr>
        <w:t xml:space="preserve">UNHCR, CaLP, DRC, OCHA, Oxfam, Save the Children, WFP, (2015) </w:t>
      </w:r>
      <w:r w:rsidRPr="00144B82">
        <w:rPr>
          <w:rStyle w:val="A8"/>
          <w:rFonts w:cstheme="minorHAnsi"/>
          <w:i/>
          <w:color w:val="auto"/>
        </w:rPr>
        <w:t>Operational Guidance and Toolkit for Multipurpose Cash Grants</w:t>
      </w:r>
      <w:r w:rsidRPr="00144B82">
        <w:rPr>
          <w:rStyle w:val="A8"/>
          <w:rFonts w:cstheme="minorHAnsi"/>
          <w:color w:val="auto"/>
        </w:rPr>
        <w:t xml:space="preserve">. </w:t>
      </w:r>
      <w:hyperlink r:id="rId30" w:history="1">
        <w:r w:rsidRPr="00144B82">
          <w:rPr>
            <w:rStyle w:val="Hyperlink"/>
            <w:rFonts w:cstheme="minorHAnsi"/>
            <w:color w:val="auto"/>
            <w:szCs w:val="20"/>
            <w:u w:val="none"/>
          </w:rPr>
          <w:t>http://www.cashlearning.org/downloads/mpg-toolkit-pdfs/mpg-full.pdf</w:t>
        </w:r>
      </w:hyperlink>
      <w:r w:rsidRPr="00144B82">
        <w:rPr>
          <w:rStyle w:val="A8"/>
          <w:rFonts w:cstheme="minorHAnsi"/>
          <w:color w:val="auto"/>
        </w:rPr>
        <w:t xml:space="preserve"> </w:t>
      </w:r>
    </w:p>
    <w:p w14:paraId="4060843F" w14:textId="77777777" w:rsidR="00782190" w:rsidRPr="009953FC" w:rsidRDefault="00782190">
      <w:pPr>
        <w:ind w:left="270" w:hanging="270"/>
        <w:jc w:val="left"/>
        <w:rPr>
          <w:szCs w:val="20"/>
        </w:rPr>
      </w:pPr>
      <w:bookmarkStart w:id="51" w:name="_GoBack"/>
      <w:bookmarkEnd w:id="51"/>
    </w:p>
    <w:sectPr w:rsidR="00782190" w:rsidRPr="009953FC" w:rsidSect="00F346F5">
      <w:footerReference w:type="default" r:id="rId31"/>
      <w:pgSz w:w="12240" w:h="15840" w:code="1"/>
      <w:pgMar w:top="1440" w:right="1080" w:bottom="1440" w:left="108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B6CBA0" w16cid:durableId="1F2F9920"/>
  <w16cid:commentId w16cid:paraId="249ACFAB" w16cid:durableId="1F319F8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DCA989" w14:textId="77777777" w:rsidR="00233709" w:rsidRDefault="00233709" w:rsidP="00592203">
      <w:r>
        <w:separator/>
      </w:r>
    </w:p>
  </w:endnote>
  <w:endnote w:type="continuationSeparator" w:id="0">
    <w:p w14:paraId="415C1634" w14:textId="77777777" w:rsidR="00233709" w:rsidRDefault="00233709" w:rsidP="00592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10022FF" w:usb1="C000E47F" w:usb2="00000029" w:usb3="00000000" w:csb0="000001D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Magneto">
    <w:panose1 w:val="04030805050802020D02"/>
    <w:charset w:val="00"/>
    <w:family w:val="decorative"/>
    <w:pitch w:val="variable"/>
    <w:sig w:usb0="00000003" w:usb1="00000000" w:usb2="00000000" w:usb3="00000000" w:csb0="00000001" w:csb1="00000000"/>
  </w:font>
  <w:font w:name="5">
    <w:altName w:val="Times New Roman"/>
    <w:panose1 w:val="00000000000000000000"/>
    <w:charset w:val="00"/>
    <w:family w:val="roman"/>
    <w:notTrueType/>
    <w:pitch w:val="default"/>
  </w:font>
  <w:font w:name="AGaramondPro-Regular">
    <w:altName w:val="MS Gothic"/>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7108249"/>
      <w:docPartObj>
        <w:docPartGallery w:val="Page Numbers (Bottom of Page)"/>
        <w:docPartUnique/>
      </w:docPartObj>
    </w:sdtPr>
    <w:sdtEndPr>
      <w:rPr>
        <w:noProof/>
      </w:rPr>
    </w:sdtEndPr>
    <w:sdtContent>
      <w:p w14:paraId="1D54DCB9" w14:textId="03B18045" w:rsidR="00DD66AB" w:rsidRDefault="00DD66AB">
        <w:pPr>
          <w:pStyle w:val="Footer"/>
          <w:jc w:val="right"/>
        </w:pPr>
        <w:r>
          <w:fldChar w:fldCharType="begin"/>
        </w:r>
        <w:r>
          <w:instrText xml:space="preserve"> PAGE   \* MERGEFORMAT </w:instrText>
        </w:r>
        <w:r>
          <w:fldChar w:fldCharType="separate"/>
        </w:r>
        <w:r w:rsidR="00233709">
          <w:rPr>
            <w:noProof/>
          </w:rPr>
          <w:t>1</w:t>
        </w:r>
        <w:r>
          <w:rPr>
            <w:noProof/>
          </w:rPr>
          <w:fldChar w:fldCharType="end"/>
        </w:r>
      </w:p>
    </w:sdtContent>
  </w:sdt>
  <w:p w14:paraId="5BA45649" w14:textId="77777777" w:rsidR="00DD66AB" w:rsidRDefault="00DD66A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C6A27" w14:textId="77777777" w:rsidR="00233709" w:rsidRDefault="00233709" w:rsidP="00592203">
      <w:r>
        <w:separator/>
      </w:r>
    </w:p>
  </w:footnote>
  <w:footnote w:type="continuationSeparator" w:id="0">
    <w:p w14:paraId="4ADBB07F" w14:textId="77777777" w:rsidR="00233709" w:rsidRDefault="00233709" w:rsidP="00592203">
      <w:r>
        <w:continuationSeparator/>
      </w:r>
    </w:p>
  </w:footnote>
  <w:footnote w:id="1">
    <w:p w14:paraId="685EA887" w14:textId="3C26DDD9" w:rsidR="00DD66AB" w:rsidRPr="005603C5" w:rsidRDefault="00DD66AB" w:rsidP="00A65CD9">
      <w:pPr>
        <w:pStyle w:val="FootnoteText"/>
        <w:rPr>
          <w:sz w:val="18"/>
        </w:rPr>
      </w:pPr>
      <w:r w:rsidRPr="005603C5">
        <w:rPr>
          <w:rStyle w:val="FootnoteReference"/>
          <w:sz w:val="18"/>
        </w:rPr>
        <w:footnoteRef/>
      </w:r>
      <w:r>
        <w:rPr>
          <w:sz w:val="18"/>
        </w:rPr>
        <w:t xml:space="preserve"> NRC Program Policy</w:t>
      </w:r>
      <w:r w:rsidRPr="005603C5">
        <w:rPr>
          <w:sz w:val="18"/>
        </w:rPr>
        <w:t xml:space="preserve"> </w:t>
      </w:r>
    </w:p>
  </w:footnote>
  <w:footnote w:id="2">
    <w:p w14:paraId="54CA9259" w14:textId="76E38ABD" w:rsidR="00DD66AB" w:rsidRPr="005603C5" w:rsidRDefault="00DD66AB" w:rsidP="00CD2D65">
      <w:pPr>
        <w:pStyle w:val="FootnoteText"/>
        <w:rPr>
          <w:sz w:val="18"/>
        </w:rPr>
      </w:pPr>
      <w:r w:rsidRPr="005603C5">
        <w:rPr>
          <w:rStyle w:val="FootnoteReference"/>
          <w:sz w:val="18"/>
        </w:rPr>
        <w:footnoteRef/>
      </w:r>
      <w:r w:rsidRPr="005603C5">
        <w:rPr>
          <w:sz w:val="18"/>
        </w:rPr>
        <w:t xml:space="preserve"> </w:t>
      </w:r>
      <w:r>
        <w:rPr>
          <w:sz w:val="18"/>
        </w:rPr>
        <w:t xml:space="preserve">See </w:t>
      </w:r>
      <w:r w:rsidRPr="005603C5">
        <w:rPr>
          <w:sz w:val="18"/>
        </w:rPr>
        <w:t xml:space="preserve">NRC, 2013, </w:t>
      </w:r>
      <w:r w:rsidRPr="005603C5">
        <w:rPr>
          <w:i/>
          <w:sz w:val="18"/>
        </w:rPr>
        <w:t>Emergency Cash for Shelter Pilot Project: Afghanistan – Evaluation</w:t>
      </w:r>
      <w:r w:rsidRPr="005603C5">
        <w:rPr>
          <w:sz w:val="18"/>
        </w:rPr>
        <w:t xml:space="preserve"> </w:t>
      </w:r>
    </w:p>
  </w:footnote>
  <w:footnote w:id="3">
    <w:p w14:paraId="741B31E2" w14:textId="77777777" w:rsidR="00DD66AB" w:rsidRPr="006B5182" w:rsidRDefault="00DD66AB" w:rsidP="001752E4">
      <w:pPr>
        <w:pStyle w:val="FootnoteText"/>
        <w:jc w:val="both"/>
        <w:rPr>
          <w:sz w:val="18"/>
          <w:szCs w:val="18"/>
          <w:lang w:val="en-GB"/>
        </w:rPr>
      </w:pPr>
      <w:r w:rsidRPr="006B5182">
        <w:rPr>
          <w:rStyle w:val="FootnoteReference"/>
          <w:sz w:val="18"/>
          <w:szCs w:val="18"/>
        </w:rPr>
        <w:footnoteRef/>
      </w:r>
      <w:r w:rsidRPr="006B5182">
        <w:rPr>
          <w:sz w:val="18"/>
          <w:szCs w:val="18"/>
        </w:rPr>
        <w:t xml:space="preserve"> NRC relied on its expertise on the ground for pre-selectio</w:t>
      </w:r>
      <w:r>
        <w:rPr>
          <w:sz w:val="18"/>
          <w:szCs w:val="18"/>
        </w:rPr>
        <w:t>n of communities for the survey.</w:t>
      </w:r>
      <w:r w:rsidRPr="006B5182">
        <w:rPr>
          <w:sz w:val="18"/>
          <w:szCs w:val="18"/>
        </w:rPr>
        <w:t xml:space="preserve"> </w:t>
      </w:r>
      <w:r>
        <w:rPr>
          <w:sz w:val="18"/>
          <w:szCs w:val="18"/>
        </w:rPr>
        <w:t>L</w:t>
      </w:r>
      <w:r w:rsidRPr="006B5182">
        <w:rPr>
          <w:sz w:val="18"/>
          <w:szCs w:val="18"/>
        </w:rPr>
        <w:t xml:space="preserve">ocations with </w:t>
      </w:r>
      <w:r w:rsidRPr="006B5182">
        <w:rPr>
          <w:color w:val="000000" w:themeColor="text1"/>
          <w:sz w:val="18"/>
          <w:szCs w:val="18"/>
        </w:rPr>
        <w:t>low displacement level and/or absent rental market were avoided</w:t>
      </w:r>
      <w:r>
        <w:rPr>
          <w:color w:val="000000" w:themeColor="text1"/>
          <w:sz w:val="18"/>
          <w:szCs w:val="18"/>
        </w:rPr>
        <w:t xml:space="preserve">, which </w:t>
      </w:r>
      <w:r w:rsidRPr="006B5182">
        <w:rPr>
          <w:color w:val="000000" w:themeColor="text1"/>
          <w:sz w:val="18"/>
          <w:szCs w:val="18"/>
        </w:rPr>
        <w:t>could potentially represent a bias</w:t>
      </w:r>
      <w:r>
        <w:rPr>
          <w:color w:val="000000" w:themeColor="text1"/>
          <w:sz w:val="18"/>
          <w:szCs w:val="18"/>
        </w:rPr>
        <w:t xml:space="preserve"> (excluding </w:t>
      </w:r>
      <w:r w:rsidRPr="006B5182">
        <w:rPr>
          <w:color w:val="000000" w:themeColor="text1"/>
          <w:sz w:val="18"/>
          <w:szCs w:val="18"/>
        </w:rPr>
        <w:t>communities with weak rental markets</w:t>
      </w:r>
      <w:r>
        <w:rPr>
          <w:color w:val="000000" w:themeColor="text1"/>
          <w:sz w:val="18"/>
          <w:szCs w:val="18"/>
        </w:rPr>
        <w:t>)</w:t>
      </w:r>
      <w:r w:rsidRPr="006B5182">
        <w:rPr>
          <w:color w:val="000000" w:themeColor="text1"/>
          <w:sz w:val="18"/>
          <w:szCs w:val="18"/>
        </w:rPr>
        <w:t>.</w:t>
      </w:r>
    </w:p>
  </w:footnote>
  <w:footnote w:id="4">
    <w:p w14:paraId="5A99A03B" w14:textId="21D1D429" w:rsidR="00DD66AB" w:rsidRPr="000204DA" w:rsidRDefault="00DD66AB" w:rsidP="000204DA">
      <w:pPr>
        <w:ind w:left="270" w:hanging="270"/>
        <w:rPr>
          <w:sz w:val="18"/>
          <w:szCs w:val="18"/>
        </w:rPr>
      </w:pPr>
      <w:r w:rsidRPr="000204DA">
        <w:rPr>
          <w:rStyle w:val="FootnoteReference"/>
          <w:sz w:val="18"/>
          <w:szCs w:val="18"/>
        </w:rPr>
        <w:footnoteRef/>
      </w:r>
      <w:r w:rsidRPr="000204DA">
        <w:rPr>
          <w:sz w:val="18"/>
          <w:szCs w:val="18"/>
        </w:rPr>
        <w:t xml:space="preserve"> </w:t>
      </w:r>
      <w:r w:rsidR="004178B0" w:rsidRPr="00C446F2">
        <w:rPr>
          <w:sz w:val="18"/>
          <w:szCs w:val="18"/>
          <w:lang w:val="sv-SE"/>
        </w:rPr>
        <w:t>UN-Habitat,</w:t>
      </w:r>
      <w:r w:rsidR="004178B0" w:rsidRPr="0068076D">
        <w:rPr>
          <w:sz w:val="18"/>
          <w:szCs w:val="18"/>
          <w:lang w:val="sv-SE"/>
        </w:rPr>
        <w:t xml:space="preserve"> MUDH, </w:t>
      </w:r>
      <w:r w:rsidR="004178B0">
        <w:rPr>
          <w:sz w:val="18"/>
          <w:szCs w:val="18"/>
          <w:lang w:val="sv-SE"/>
        </w:rPr>
        <w:t>(</w:t>
      </w:r>
      <w:r w:rsidR="004178B0" w:rsidRPr="0068076D">
        <w:rPr>
          <w:sz w:val="18"/>
          <w:szCs w:val="18"/>
          <w:lang w:val="sv-SE"/>
        </w:rPr>
        <w:t>2017</w:t>
      </w:r>
      <w:r w:rsidR="004178B0">
        <w:rPr>
          <w:sz w:val="18"/>
          <w:szCs w:val="18"/>
          <w:lang w:val="sv-SE"/>
        </w:rPr>
        <w:t xml:space="preserve">) </w:t>
      </w:r>
      <w:r w:rsidR="004178B0" w:rsidRPr="00355095">
        <w:rPr>
          <w:i/>
          <w:sz w:val="18"/>
          <w:szCs w:val="18"/>
          <w:lang w:val="sv-SE"/>
        </w:rPr>
        <w:t>Afghanistan Housing Profile</w:t>
      </w:r>
      <w:r w:rsidR="004178B0">
        <w:rPr>
          <w:i/>
          <w:sz w:val="18"/>
          <w:szCs w:val="18"/>
          <w:lang w:val="sv-SE"/>
        </w:rPr>
        <w:t>.</w:t>
      </w:r>
      <w:r w:rsidR="004178B0" w:rsidRPr="00355095">
        <w:rPr>
          <w:sz w:val="18"/>
          <w:szCs w:val="18"/>
          <w:lang w:val="sv-SE"/>
        </w:rPr>
        <w:t xml:space="preserve">  </w:t>
      </w:r>
    </w:p>
  </w:footnote>
  <w:footnote w:id="5">
    <w:p w14:paraId="2CFFFA69" w14:textId="30614475" w:rsidR="00DD66AB" w:rsidRPr="000204DA" w:rsidRDefault="00DD66AB" w:rsidP="000204DA">
      <w:pPr>
        <w:pStyle w:val="FootnoteText"/>
        <w:jc w:val="both"/>
        <w:rPr>
          <w:b/>
          <w:sz w:val="18"/>
          <w:szCs w:val="18"/>
          <w:lang w:val="en-GB"/>
        </w:rPr>
      </w:pPr>
      <w:r w:rsidRPr="000204DA">
        <w:rPr>
          <w:rStyle w:val="FootnoteReference"/>
          <w:sz w:val="18"/>
          <w:szCs w:val="18"/>
        </w:rPr>
        <w:footnoteRef/>
      </w:r>
      <w:r w:rsidRPr="000204DA">
        <w:rPr>
          <w:sz w:val="18"/>
          <w:szCs w:val="18"/>
        </w:rPr>
        <w:t xml:space="preserve"> </w:t>
      </w:r>
      <w:r w:rsidRPr="000204DA">
        <w:rPr>
          <w:color w:val="000000" w:themeColor="text1"/>
          <w:sz w:val="18"/>
          <w:szCs w:val="18"/>
        </w:rPr>
        <w:t>IOM (2017) Baseline mobility assessment</w:t>
      </w:r>
      <w:r w:rsidR="004178B0">
        <w:rPr>
          <w:color w:val="000000" w:themeColor="text1"/>
          <w:sz w:val="18"/>
          <w:szCs w:val="18"/>
        </w:rPr>
        <w:t>.</w:t>
      </w:r>
    </w:p>
  </w:footnote>
  <w:footnote w:id="6">
    <w:p w14:paraId="2927E08B" w14:textId="126E8BB9" w:rsidR="00DD66AB" w:rsidRPr="000204DA" w:rsidRDefault="00DD66AB" w:rsidP="000204DA">
      <w:pPr>
        <w:ind w:left="270" w:hanging="270"/>
        <w:rPr>
          <w:sz w:val="18"/>
          <w:szCs w:val="18"/>
          <w:lang w:val="en-GB"/>
        </w:rPr>
      </w:pPr>
      <w:r w:rsidRPr="000204DA">
        <w:rPr>
          <w:rStyle w:val="FootnoteReference"/>
          <w:sz w:val="18"/>
          <w:szCs w:val="18"/>
        </w:rPr>
        <w:footnoteRef/>
      </w:r>
      <w:r w:rsidRPr="000204DA">
        <w:rPr>
          <w:sz w:val="18"/>
          <w:szCs w:val="18"/>
        </w:rPr>
        <w:t xml:space="preserve"> </w:t>
      </w:r>
      <w:r w:rsidRPr="000204DA">
        <w:rPr>
          <w:rFonts w:cstheme="majorHAnsi"/>
          <w:sz w:val="18"/>
          <w:szCs w:val="18"/>
        </w:rPr>
        <w:t>REACH (2018)</w:t>
      </w:r>
      <w:r w:rsidRPr="000204DA">
        <w:rPr>
          <w:sz w:val="18"/>
          <w:szCs w:val="18"/>
        </w:rPr>
        <w:t xml:space="preserve"> </w:t>
      </w:r>
      <w:r w:rsidRPr="004178B0">
        <w:rPr>
          <w:i/>
          <w:sz w:val="18"/>
          <w:szCs w:val="18"/>
        </w:rPr>
        <w:t>Hard-to-Reach Assessment - Round One</w:t>
      </w:r>
      <w:r w:rsidR="004178B0" w:rsidRPr="004178B0">
        <w:rPr>
          <w:i/>
          <w:sz w:val="18"/>
          <w:szCs w:val="18"/>
        </w:rPr>
        <w:t>.</w:t>
      </w:r>
      <w:r w:rsidRPr="000204DA">
        <w:rPr>
          <w:sz w:val="18"/>
          <w:szCs w:val="18"/>
        </w:rPr>
        <w:t xml:space="preserve"> </w:t>
      </w:r>
    </w:p>
  </w:footnote>
  <w:footnote w:id="7">
    <w:p w14:paraId="0CDCFB28" w14:textId="07C307B2" w:rsidR="00DD66AB" w:rsidRPr="000204DA" w:rsidRDefault="00DD66AB" w:rsidP="000204DA">
      <w:pPr>
        <w:pStyle w:val="FootnoteText"/>
        <w:jc w:val="both"/>
        <w:rPr>
          <w:sz w:val="18"/>
          <w:szCs w:val="18"/>
          <w:lang w:val="en-GB"/>
        </w:rPr>
      </w:pPr>
      <w:r w:rsidRPr="000204DA">
        <w:rPr>
          <w:rStyle w:val="FootnoteReference"/>
          <w:sz w:val="18"/>
          <w:szCs w:val="18"/>
        </w:rPr>
        <w:footnoteRef/>
      </w:r>
      <w:r w:rsidRPr="000204DA">
        <w:rPr>
          <w:sz w:val="18"/>
          <w:szCs w:val="18"/>
        </w:rPr>
        <w:t xml:space="preserve"> Afghanistan spatial data center, retrieved at the time of this report 2018 http://asdc.immap.org</w:t>
      </w:r>
    </w:p>
  </w:footnote>
  <w:footnote w:id="8">
    <w:p w14:paraId="12448990" w14:textId="77777777" w:rsidR="00DD66AB" w:rsidRPr="006B5182" w:rsidRDefault="00DD66AB" w:rsidP="009C763F">
      <w:pPr>
        <w:pStyle w:val="FootnoteText"/>
        <w:rPr>
          <w:sz w:val="18"/>
          <w:szCs w:val="18"/>
          <w:lang w:val="en-GB"/>
        </w:rPr>
      </w:pPr>
      <w:r w:rsidRPr="0068076D">
        <w:rPr>
          <w:rStyle w:val="FootnoteReference"/>
          <w:sz w:val="18"/>
          <w:szCs w:val="18"/>
        </w:rPr>
        <w:footnoteRef/>
      </w:r>
      <w:r w:rsidRPr="0068076D">
        <w:rPr>
          <w:sz w:val="18"/>
          <w:szCs w:val="18"/>
        </w:rPr>
        <w:t xml:space="preserve"> </w:t>
      </w:r>
      <w:r w:rsidRPr="0068076D">
        <w:rPr>
          <w:sz w:val="18"/>
          <w:szCs w:val="18"/>
          <w:lang w:val="en-GB"/>
        </w:rPr>
        <w:t>Outliers -- housing units with extremely high rent (over 20000 AFN) were excluded from analysis.</w:t>
      </w:r>
    </w:p>
  </w:footnote>
  <w:footnote w:id="9">
    <w:p w14:paraId="1CC5DADF" w14:textId="1531C512" w:rsidR="00DD66AB" w:rsidRPr="000204DA" w:rsidRDefault="00DD66AB" w:rsidP="000204DA">
      <w:pPr>
        <w:pStyle w:val="FootnoteText"/>
        <w:jc w:val="both"/>
        <w:rPr>
          <w:sz w:val="18"/>
          <w:szCs w:val="18"/>
        </w:rPr>
      </w:pPr>
      <w:r w:rsidRPr="000204DA">
        <w:rPr>
          <w:rStyle w:val="FootnoteReference"/>
          <w:sz w:val="18"/>
          <w:szCs w:val="18"/>
        </w:rPr>
        <w:footnoteRef/>
      </w:r>
      <w:r w:rsidRPr="000204DA">
        <w:rPr>
          <w:sz w:val="18"/>
          <w:szCs w:val="18"/>
        </w:rPr>
        <w:t xml:space="preserve"> The delimitation</w:t>
      </w:r>
      <w:r>
        <w:rPr>
          <w:sz w:val="18"/>
          <w:szCs w:val="18"/>
        </w:rPr>
        <w:t>s</w:t>
      </w:r>
      <w:r w:rsidRPr="000204DA">
        <w:rPr>
          <w:sz w:val="18"/>
          <w:szCs w:val="18"/>
        </w:rPr>
        <w:t xml:space="preserve"> of Jalalabad city region follow those defined in Atlas of Afghan City Regions, GoIRA, 2016. </w:t>
      </w:r>
    </w:p>
  </w:footnote>
  <w:footnote w:id="10">
    <w:p w14:paraId="741C264F" w14:textId="77777777" w:rsidR="00DD66AB" w:rsidRPr="000204DA" w:rsidRDefault="00DD66AB" w:rsidP="00B27430">
      <w:pPr>
        <w:pStyle w:val="FootnoteText"/>
        <w:jc w:val="both"/>
        <w:rPr>
          <w:sz w:val="18"/>
          <w:szCs w:val="18"/>
          <w:lang w:val="en-GB"/>
        </w:rPr>
      </w:pPr>
      <w:r w:rsidRPr="000204DA">
        <w:rPr>
          <w:rStyle w:val="FootnoteReference"/>
          <w:sz w:val="18"/>
          <w:szCs w:val="18"/>
        </w:rPr>
        <w:footnoteRef/>
      </w:r>
      <w:r w:rsidRPr="000204DA">
        <w:rPr>
          <w:sz w:val="18"/>
          <w:szCs w:val="18"/>
        </w:rPr>
        <w:t xml:space="preserve"> Jalalabad urban area defined as b</w:t>
      </w:r>
      <w:r w:rsidRPr="000204DA">
        <w:rPr>
          <w:sz w:val="18"/>
          <w:szCs w:val="18"/>
          <w:lang w:val="en-GB"/>
        </w:rPr>
        <w:t xml:space="preserve">uilt-up area with Jalalabad district as its center, comprising the districts of Jalalabad proper, north-eastern part of Surkhrod and south-eastern part of Behsud district, see UN-Habitat, State of Afghan Cities 2015, volume 1, p.40. </w:t>
      </w:r>
    </w:p>
  </w:footnote>
  <w:footnote w:id="11">
    <w:p w14:paraId="227C367F" w14:textId="77777777" w:rsidR="00DD66AB" w:rsidRPr="000204DA" w:rsidRDefault="00DD66AB" w:rsidP="000204DA">
      <w:pPr>
        <w:pStyle w:val="FootnoteText"/>
        <w:jc w:val="both"/>
        <w:rPr>
          <w:sz w:val="18"/>
          <w:szCs w:val="18"/>
          <w:lang w:val="en-GB"/>
        </w:rPr>
      </w:pPr>
      <w:r w:rsidRPr="000204DA">
        <w:rPr>
          <w:rStyle w:val="FootnoteReference"/>
          <w:sz w:val="18"/>
          <w:szCs w:val="18"/>
        </w:rPr>
        <w:footnoteRef/>
      </w:r>
      <w:r w:rsidRPr="000204DA">
        <w:rPr>
          <w:sz w:val="18"/>
          <w:szCs w:val="18"/>
        </w:rPr>
        <w:t xml:space="preserve"> </w:t>
      </w:r>
      <w:r w:rsidRPr="000204DA">
        <w:rPr>
          <w:sz w:val="18"/>
          <w:szCs w:val="18"/>
          <w:lang w:val="en-GB"/>
        </w:rPr>
        <w:t>95% confidence interval, 5% margin of error.</w:t>
      </w:r>
    </w:p>
  </w:footnote>
  <w:footnote w:id="12">
    <w:p w14:paraId="15A948C1" w14:textId="77777777" w:rsidR="00DD66AB" w:rsidRPr="000204DA" w:rsidRDefault="00DD66AB" w:rsidP="000204DA">
      <w:pPr>
        <w:pStyle w:val="FootnoteText"/>
        <w:jc w:val="both"/>
        <w:rPr>
          <w:sz w:val="18"/>
          <w:szCs w:val="18"/>
          <w:lang w:val="en-GB"/>
        </w:rPr>
      </w:pPr>
      <w:r w:rsidRPr="000204DA">
        <w:rPr>
          <w:rStyle w:val="FootnoteReference"/>
          <w:sz w:val="18"/>
          <w:szCs w:val="18"/>
        </w:rPr>
        <w:footnoteRef/>
      </w:r>
      <w:r w:rsidRPr="000204DA">
        <w:rPr>
          <w:sz w:val="18"/>
          <w:szCs w:val="18"/>
        </w:rPr>
        <w:t xml:space="preserve"> </w:t>
      </w:r>
      <w:r w:rsidRPr="000204DA">
        <w:rPr>
          <w:sz w:val="18"/>
          <w:szCs w:val="18"/>
          <w:lang w:val="en-GB"/>
        </w:rPr>
        <w:t>95% confidence interval and 10% margin of error.</w:t>
      </w:r>
    </w:p>
  </w:footnote>
  <w:footnote w:id="13">
    <w:p w14:paraId="2B82A396" w14:textId="77777777" w:rsidR="00DD66AB" w:rsidRPr="00B16E76" w:rsidRDefault="00DD66AB" w:rsidP="000204DA">
      <w:pPr>
        <w:pStyle w:val="FootnoteText"/>
        <w:jc w:val="both"/>
        <w:rPr>
          <w:sz w:val="18"/>
          <w:szCs w:val="18"/>
          <w:lang w:val="en-GB"/>
        </w:rPr>
      </w:pPr>
      <w:r w:rsidRPr="00B16E76">
        <w:rPr>
          <w:rStyle w:val="FootnoteReference"/>
          <w:sz w:val="18"/>
          <w:szCs w:val="18"/>
        </w:rPr>
        <w:footnoteRef/>
      </w:r>
      <w:r w:rsidRPr="00B16E76">
        <w:rPr>
          <w:sz w:val="18"/>
          <w:szCs w:val="18"/>
        </w:rPr>
        <w:t xml:space="preserve"> </w:t>
      </w:r>
      <w:r w:rsidRPr="00B16E76">
        <w:rPr>
          <w:sz w:val="18"/>
          <w:szCs w:val="18"/>
          <w:lang w:val="en-GB"/>
        </w:rPr>
        <w:t>95 % confidence interval and 10% margin of error.</w:t>
      </w:r>
    </w:p>
  </w:footnote>
  <w:footnote w:id="14">
    <w:p w14:paraId="5C86B007" w14:textId="5C6163A0" w:rsidR="00DD66AB" w:rsidRPr="00B16E76" w:rsidRDefault="00DD66AB" w:rsidP="000204DA">
      <w:pPr>
        <w:pStyle w:val="FootnoteText"/>
        <w:jc w:val="both"/>
        <w:rPr>
          <w:sz w:val="18"/>
          <w:szCs w:val="18"/>
        </w:rPr>
      </w:pPr>
      <w:r w:rsidRPr="00B16E76">
        <w:rPr>
          <w:rStyle w:val="FootnoteReference"/>
          <w:sz w:val="18"/>
          <w:szCs w:val="18"/>
        </w:rPr>
        <w:footnoteRef/>
      </w:r>
      <w:r w:rsidRPr="00B16E76">
        <w:rPr>
          <w:sz w:val="18"/>
          <w:szCs w:val="18"/>
        </w:rPr>
        <w:t xml:space="preserve"> Indicative, not representative</w:t>
      </w:r>
    </w:p>
  </w:footnote>
  <w:footnote w:id="15">
    <w:p w14:paraId="53501BA8" w14:textId="77777777" w:rsidR="00DD66AB" w:rsidRPr="00B16E76" w:rsidRDefault="00DD66AB" w:rsidP="002E4E75">
      <w:pPr>
        <w:rPr>
          <w:sz w:val="18"/>
          <w:szCs w:val="18"/>
        </w:rPr>
      </w:pPr>
      <w:r w:rsidRPr="00B16E76">
        <w:rPr>
          <w:rStyle w:val="FootnoteReference"/>
          <w:sz w:val="18"/>
          <w:szCs w:val="18"/>
        </w:rPr>
        <w:footnoteRef/>
      </w:r>
      <w:r w:rsidRPr="00B16E76">
        <w:rPr>
          <w:sz w:val="18"/>
          <w:szCs w:val="18"/>
        </w:rPr>
        <w:t xml:space="preserve"> </w:t>
      </w:r>
      <w:r w:rsidRPr="00B16E76">
        <w:rPr>
          <w:sz w:val="18"/>
          <w:szCs w:val="18"/>
          <w:lang w:val="en-GB"/>
        </w:rPr>
        <w:t>Hard to reach areas, as defined by REACH in the March 2018 Hard-to-Reach Assessment - Round One fact sheet: “A Hard-to-Reach (HTR) district can be defined as such from a security perspective as well as a terrain perspective – where access is limited due to remoteness or hostile terrain. Most generally however, given the Afghan context, a HTR district has been defined as a district where access by humanitarian actors is limited due to active fighting that poses a security risk for humanitarian workers and beneficiaries, or due to the presence of Armed Opposition Groups that actively limit access to the district through constraints such as checkpoints.”</w:t>
      </w:r>
    </w:p>
  </w:footnote>
  <w:footnote w:id="16">
    <w:p w14:paraId="1253D73A" w14:textId="3CC1218A" w:rsidR="00DD66AB" w:rsidRPr="00605CA6" w:rsidRDefault="00DD66AB">
      <w:pPr>
        <w:pStyle w:val="FootnoteText"/>
        <w:rPr>
          <w:sz w:val="18"/>
          <w:szCs w:val="18"/>
        </w:rPr>
      </w:pPr>
      <w:r w:rsidRPr="00605CA6">
        <w:rPr>
          <w:rStyle w:val="FootnoteReference"/>
          <w:sz w:val="18"/>
          <w:szCs w:val="18"/>
        </w:rPr>
        <w:footnoteRef/>
      </w:r>
      <w:r w:rsidRPr="00605CA6">
        <w:rPr>
          <w:sz w:val="18"/>
          <w:szCs w:val="18"/>
        </w:rPr>
        <w:t xml:space="preserve"> Central Statistics Organization, (2018) </w:t>
      </w:r>
      <w:r w:rsidRPr="00605CA6">
        <w:rPr>
          <w:i/>
          <w:sz w:val="18"/>
          <w:szCs w:val="18"/>
        </w:rPr>
        <w:t>Afghanistan Population.</w:t>
      </w:r>
      <w:r w:rsidRPr="00605CA6">
        <w:rPr>
          <w:sz w:val="18"/>
          <w:szCs w:val="18"/>
        </w:rPr>
        <w:t xml:space="preserve">   </w:t>
      </w:r>
    </w:p>
  </w:footnote>
  <w:footnote w:id="17">
    <w:p w14:paraId="0905869C" w14:textId="25CABC76" w:rsidR="00DD66AB" w:rsidRPr="00605CA6" w:rsidRDefault="00DD66AB" w:rsidP="00DF38A2">
      <w:pPr>
        <w:pStyle w:val="FootnoteText"/>
        <w:rPr>
          <w:sz w:val="18"/>
          <w:szCs w:val="18"/>
          <w:lang w:val="en-GB"/>
        </w:rPr>
      </w:pPr>
      <w:r w:rsidRPr="00605CA6">
        <w:rPr>
          <w:rStyle w:val="FootnoteReference"/>
          <w:sz w:val="18"/>
          <w:szCs w:val="18"/>
        </w:rPr>
        <w:footnoteRef/>
      </w:r>
      <w:r w:rsidRPr="00605CA6">
        <w:rPr>
          <w:sz w:val="18"/>
          <w:szCs w:val="18"/>
        </w:rPr>
        <w:t xml:space="preserve"> IOM </w:t>
      </w:r>
      <w:r w:rsidRPr="00605CA6">
        <w:rPr>
          <w:color w:val="000000" w:themeColor="text1"/>
          <w:sz w:val="18"/>
          <w:szCs w:val="18"/>
        </w:rPr>
        <w:t>(2017)</w:t>
      </w:r>
      <w:r w:rsidRPr="00605CA6">
        <w:rPr>
          <w:i/>
          <w:color w:val="000000" w:themeColor="text1"/>
          <w:sz w:val="18"/>
          <w:szCs w:val="18"/>
        </w:rPr>
        <w:t xml:space="preserve"> Baseline mobility assessment.</w:t>
      </w:r>
      <w:r w:rsidRPr="00605CA6">
        <w:rPr>
          <w:color w:val="000000" w:themeColor="text1"/>
          <w:sz w:val="18"/>
          <w:szCs w:val="18"/>
        </w:rPr>
        <w:t xml:space="preserve"> </w:t>
      </w:r>
    </w:p>
  </w:footnote>
  <w:footnote w:id="18">
    <w:p w14:paraId="357478F4" w14:textId="39A9AEF4" w:rsidR="00DD66AB" w:rsidRPr="00605CA6" w:rsidRDefault="00DD66AB">
      <w:pPr>
        <w:pStyle w:val="FootnoteText"/>
        <w:rPr>
          <w:sz w:val="18"/>
          <w:szCs w:val="18"/>
        </w:rPr>
      </w:pPr>
      <w:r w:rsidRPr="00605CA6">
        <w:rPr>
          <w:rStyle w:val="FootnoteReference"/>
          <w:sz w:val="18"/>
          <w:szCs w:val="18"/>
        </w:rPr>
        <w:footnoteRef/>
      </w:r>
      <w:r w:rsidRPr="00605CA6">
        <w:rPr>
          <w:sz w:val="18"/>
          <w:szCs w:val="18"/>
        </w:rPr>
        <w:t xml:space="preserve"> Settled Population of Nanga</w:t>
      </w:r>
      <w:r w:rsidR="00605CA6">
        <w:rPr>
          <w:sz w:val="18"/>
          <w:szCs w:val="18"/>
        </w:rPr>
        <w:t>rhar province by Civil Division</w:t>
      </w:r>
      <w:r w:rsidRPr="00605CA6">
        <w:rPr>
          <w:sz w:val="18"/>
          <w:szCs w:val="18"/>
        </w:rPr>
        <w:t xml:space="preserve">, retrieved from  </w:t>
      </w:r>
      <w:hyperlink r:id="rId1" w:history="1">
        <w:r w:rsidRPr="00605CA6">
          <w:rPr>
            <w:rStyle w:val="Hyperlink"/>
            <w:sz w:val="18"/>
            <w:szCs w:val="18"/>
          </w:rPr>
          <w:t>http://cso.gov.af/Content/files/nangarhar(1).pdf</w:t>
        </w:r>
      </w:hyperlink>
      <w:r w:rsidRPr="00605CA6">
        <w:rPr>
          <w:sz w:val="18"/>
          <w:szCs w:val="18"/>
        </w:rPr>
        <w:t xml:space="preserve"> </w:t>
      </w:r>
    </w:p>
  </w:footnote>
  <w:footnote w:id="19">
    <w:p w14:paraId="0EA5C33A" w14:textId="3AC085F0" w:rsidR="00DD66AB" w:rsidRPr="00605CA6" w:rsidRDefault="00DD66AB" w:rsidP="0061267B">
      <w:pPr>
        <w:pStyle w:val="FootnoteText"/>
        <w:rPr>
          <w:sz w:val="18"/>
          <w:szCs w:val="18"/>
          <w:lang w:val="sv-SE"/>
        </w:rPr>
      </w:pPr>
      <w:r w:rsidRPr="00605CA6">
        <w:rPr>
          <w:rStyle w:val="FootnoteReference"/>
          <w:sz w:val="18"/>
          <w:szCs w:val="18"/>
        </w:rPr>
        <w:footnoteRef/>
      </w:r>
      <w:r w:rsidRPr="00605CA6">
        <w:rPr>
          <w:sz w:val="18"/>
          <w:szCs w:val="18"/>
          <w:lang w:val="sv-SE"/>
        </w:rPr>
        <w:t xml:space="preserve"> UN-Habitat, MUDH, (2017) </w:t>
      </w:r>
      <w:r w:rsidRPr="00605CA6">
        <w:rPr>
          <w:i/>
          <w:sz w:val="18"/>
          <w:szCs w:val="18"/>
          <w:lang w:val="sv-SE"/>
        </w:rPr>
        <w:t>Afghanistan Housing Profile.</w:t>
      </w:r>
      <w:r w:rsidRPr="00605CA6">
        <w:rPr>
          <w:sz w:val="18"/>
          <w:szCs w:val="18"/>
          <w:lang w:val="sv-SE"/>
        </w:rPr>
        <w:t xml:space="preserve">  </w:t>
      </w:r>
    </w:p>
  </w:footnote>
  <w:footnote w:id="20">
    <w:p w14:paraId="3DC57B9D" w14:textId="1FEE4E71" w:rsidR="00DD66AB" w:rsidRPr="00605CA6" w:rsidRDefault="00DD66AB">
      <w:pPr>
        <w:pStyle w:val="FootnoteText"/>
        <w:rPr>
          <w:sz w:val="18"/>
          <w:szCs w:val="18"/>
          <w:lang w:val="sv-SE"/>
        </w:rPr>
      </w:pPr>
      <w:r w:rsidRPr="00605CA6">
        <w:rPr>
          <w:rStyle w:val="FootnoteReference"/>
          <w:sz w:val="18"/>
          <w:szCs w:val="18"/>
        </w:rPr>
        <w:footnoteRef/>
      </w:r>
      <w:r w:rsidRPr="00605CA6">
        <w:rPr>
          <w:sz w:val="18"/>
          <w:szCs w:val="18"/>
          <w:lang w:val="sv-SE"/>
        </w:rPr>
        <w:t xml:space="preserve"> Ibid.  </w:t>
      </w:r>
    </w:p>
  </w:footnote>
  <w:footnote w:id="21">
    <w:p w14:paraId="7341877D" w14:textId="3DF6879F" w:rsidR="00DD66AB" w:rsidRPr="00605CA6" w:rsidRDefault="00DD66AB">
      <w:pPr>
        <w:pStyle w:val="FootnoteText"/>
        <w:rPr>
          <w:sz w:val="18"/>
          <w:szCs w:val="18"/>
          <w:lang w:val="en-GB"/>
        </w:rPr>
      </w:pPr>
      <w:r w:rsidRPr="00605CA6">
        <w:rPr>
          <w:rStyle w:val="FootnoteReference"/>
          <w:sz w:val="18"/>
          <w:szCs w:val="18"/>
        </w:rPr>
        <w:footnoteRef/>
      </w:r>
      <w:r w:rsidRPr="00605CA6">
        <w:rPr>
          <w:sz w:val="18"/>
          <w:szCs w:val="18"/>
          <w:lang w:val="en-GB"/>
        </w:rPr>
        <w:t xml:space="preserve"> Ibid.</w:t>
      </w:r>
    </w:p>
  </w:footnote>
  <w:footnote w:id="22">
    <w:p w14:paraId="6716B2C5" w14:textId="389F1B6A" w:rsidR="00DD66AB" w:rsidRPr="0068076D" w:rsidRDefault="00DD66AB">
      <w:pPr>
        <w:pStyle w:val="FootnoteText"/>
        <w:rPr>
          <w:sz w:val="18"/>
          <w:szCs w:val="18"/>
          <w:lang w:val="en-GB"/>
        </w:rPr>
      </w:pPr>
      <w:r w:rsidRPr="00605CA6">
        <w:rPr>
          <w:rStyle w:val="FootnoteReference"/>
          <w:sz w:val="18"/>
          <w:szCs w:val="18"/>
        </w:rPr>
        <w:footnoteRef/>
      </w:r>
      <w:r w:rsidRPr="00605CA6">
        <w:rPr>
          <w:sz w:val="18"/>
          <w:szCs w:val="18"/>
        </w:rPr>
        <w:t xml:space="preserve"> </w:t>
      </w:r>
      <w:r w:rsidRPr="00605CA6">
        <w:rPr>
          <w:sz w:val="18"/>
          <w:szCs w:val="18"/>
          <w:lang w:val="en-GB"/>
        </w:rPr>
        <w:t xml:space="preserve">UN-Habitat, (2015) </w:t>
      </w:r>
      <w:r w:rsidRPr="00605CA6">
        <w:rPr>
          <w:i/>
          <w:sz w:val="18"/>
          <w:szCs w:val="18"/>
          <w:lang w:val="en-GB"/>
        </w:rPr>
        <w:t>State of Afghan cities</w:t>
      </w:r>
      <w:r w:rsidRPr="00605CA6">
        <w:rPr>
          <w:sz w:val="18"/>
          <w:szCs w:val="18"/>
          <w:lang w:val="en-GB"/>
        </w:rPr>
        <w:t>.</w:t>
      </w:r>
    </w:p>
  </w:footnote>
  <w:footnote w:id="23">
    <w:p w14:paraId="06C0A30C" w14:textId="3978A4B1" w:rsidR="00DD66AB" w:rsidRPr="009D337B" w:rsidRDefault="00DD66AB" w:rsidP="009D337B">
      <w:pPr>
        <w:autoSpaceDE w:val="0"/>
        <w:autoSpaceDN w:val="0"/>
        <w:adjustRightInd w:val="0"/>
        <w:rPr>
          <w:rFonts w:ascii="AGaramondPro-Regular" w:eastAsia="AGaramondPro-Regular" w:cs="AGaramondPro-Regular"/>
          <w:sz w:val="18"/>
          <w:szCs w:val="18"/>
        </w:rPr>
      </w:pPr>
      <w:r>
        <w:rPr>
          <w:rStyle w:val="FootnoteReference"/>
          <w:sz w:val="18"/>
          <w:szCs w:val="18"/>
        </w:rPr>
        <w:footnoteRef/>
      </w:r>
      <w:r>
        <w:rPr>
          <w:sz w:val="18"/>
          <w:szCs w:val="18"/>
        </w:rPr>
        <w:t xml:space="preserve"> </w:t>
      </w:r>
      <w:r w:rsidR="00605CA6" w:rsidRPr="00C446F2">
        <w:rPr>
          <w:sz w:val="18"/>
          <w:szCs w:val="18"/>
          <w:lang w:val="sv-SE"/>
        </w:rPr>
        <w:t>UN-Habitat,</w:t>
      </w:r>
      <w:r w:rsidR="00605CA6" w:rsidRPr="0068076D">
        <w:rPr>
          <w:sz w:val="18"/>
          <w:szCs w:val="18"/>
          <w:lang w:val="sv-SE"/>
        </w:rPr>
        <w:t xml:space="preserve"> MUDH, </w:t>
      </w:r>
      <w:r w:rsidR="00605CA6">
        <w:rPr>
          <w:sz w:val="18"/>
          <w:szCs w:val="18"/>
          <w:lang w:val="sv-SE"/>
        </w:rPr>
        <w:t>(</w:t>
      </w:r>
      <w:r w:rsidR="00605CA6" w:rsidRPr="0068076D">
        <w:rPr>
          <w:sz w:val="18"/>
          <w:szCs w:val="18"/>
          <w:lang w:val="sv-SE"/>
        </w:rPr>
        <w:t>2017</w:t>
      </w:r>
      <w:r w:rsidR="00605CA6">
        <w:rPr>
          <w:sz w:val="18"/>
          <w:szCs w:val="18"/>
          <w:lang w:val="sv-SE"/>
        </w:rPr>
        <w:t xml:space="preserve">) </w:t>
      </w:r>
      <w:r w:rsidR="00605CA6" w:rsidRPr="00355095">
        <w:rPr>
          <w:i/>
          <w:sz w:val="18"/>
          <w:szCs w:val="18"/>
          <w:lang w:val="sv-SE"/>
        </w:rPr>
        <w:t>Afghanistan Housing Profile</w:t>
      </w:r>
      <w:r w:rsidR="00605CA6">
        <w:rPr>
          <w:i/>
          <w:sz w:val="18"/>
          <w:szCs w:val="18"/>
          <w:lang w:val="sv-SE"/>
        </w:rPr>
        <w:t>.</w:t>
      </w:r>
      <w:r w:rsidR="00605CA6" w:rsidRPr="00355095">
        <w:rPr>
          <w:sz w:val="18"/>
          <w:szCs w:val="18"/>
          <w:lang w:val="sv-SE"/>
        </w:rPr>
        <w:t xml:space="preserve">  </w:t>
      </w:r>
    </w:p>
  </w:footnote>
  <w:footnote w:id="24">
    <w:p w14:paraId="3AB381D2" w14:textId="77777777" w:rsidR="00DD66AB" w:rsidRDefault="00DD66AB" w:rsidP="00006DD4">
      <w:pPr>
        <w:rPr>
          <w:rFonts w:cstheme="minorHAnsi"/>
          <w:szCs w:val="20"/>
        </w:rPr>
      </w:pPr>
      <w:r>
        <w:rPr>
          <w:rStyle w:val="FootnoteReference"/>
          <w:sz w:val="18"/>
        </w:rPr>
        <w:footnoteRef/>
      </w:r>
      <w:r>
        <w:rPr>
          <w:sz w:val="18"/>
        </w:rPr>
        <w:t xml:space="preserve"> </w:t>
      </w:r>
      <w:r>
        <w:rPr>
          <w:rFonts w:cstheme="minorHAnsi"/>
          <w:sz w:val="18"/>
          <w:szCs w:val="20"/>
        </w:rPr>
        <w:t xml:space="preserve">OHCHR, UN HABITAT: Shelter quality is defined by taking into account several factors: </w:t>
      </w:r>
      <w:r>
        <w:rPr>
          <w:i/>
          <w:sz w:val="18"/>
          <w:szCs w:val="20"/>
        </w:rPr>
        <w:t>Security of tenure:</w:t>
      </w:r>
      <w:r>
        <w:rPr>
          <w:sz w:val="18"/>
          <w:szCs w:val="20"/>
        </w:rPr>
        <w:t xml:space="preserve"> housing is not adequate if its occupants do not have a degree of tenure security which guarantees legal protection against forced evictions, harassment and other threats. </w:t>
      </w:r>
      <w:r>
        <w:rPr>
          <w:i/>
          <w:sz w:val="18"/>
          <w:szCs w:val="20"/>
        </w:rPr>
        <w:t>Availability of services, materials, facilities and infrastructure</w:t>
      </w:r>
      <w:r>
        <w:rPr>
          <w:sz w:val="18"/>
          <w:szCs w:val="20"/>
        </w:rPr>
        <w:t xml:space="preserve">: housing is not adequate if its occupants do not have safe drinking water, adequate sanitation, energy for cooking, heating, lighting, food storage or refuse disposal. </w:t>
      </w:r>
      <w:r>
        <w:rPr>
          <w:i/>
          <w:sz w:val="18"/>
          <w:szCs w:val="20"/>
        </w:rPr>
        <w:t>Affordability</w:t>
      </w:r>
      <w:r>
        <w:rPr>
          <w:sz w:val="18"/>
          <w:szCs w:val="20"/>
        </w:rPr>
        <w:t xml:space="preserve">: housing is not adequate if its cost threatens or compromises the occupants’ enjoyment of other human rights. </w:t>
      </w:r>
      <w:r>
        <w:rPr>
          <w:i/>
          <w:sz w:val="18"/>
          <w:szCs w:val="20"/>
        </w:rPr>
        <w:t>Habitability</w:t>
      </w:r>
      <w:r>
        <w:rPr>
          <w:sz w:val="18"/>
          <w:szCs w:val="20"/>
        </w:rPr>
        <w:t xml:space="preserve">: housing is not adequate if it does not guarantee physical safety or provide adequate space, as well as protection against the cold, damp, heat, rain, wind, other threats to health and structural hazards. </w:t>
      </w:r>
      <w:r>
        <w:rPr>
          <w:i/>
          <w:sz w:val="18"/>
          <w:szCs w:val="20"/>
        </w:rPr>
        <w:t>Accessibility</w:t>
      </w:r>
      <w:r>
        <w:rPr>
          <w:sz w:val="18"/>
          <w:szCs w:val="20"/>
        </w:rPr>
        <w:t xml:space="preserve">: housing is not adequate if the specific needs of disadvantaged and marginalized groups are not taken into account. </w:t>
      </w:r>
      <w:r>
        <w:rPr>
          <w:i/>
          <w:sz w:val="18"/>
          <w:szCs w:val="20"/>
        </w:rPr>
        <w:t>Location</w:t>
      </w:r>
      <w:r>
        <w:rPr>
          <w:sz w:val="18"/>
          <w:szCs w:val="20"/>
        </w:rPr>
        <w:t xml:space="preserve">: housing is not adequate if it is cut off from employment opportunities, health-care services, schools, childcare centres and other social facilities, or if located in polluted or dangerous areas. </w:t>
      </w:r>
      <w:r>
        <w:rPr>
          <w:i/>
          <w:sz w:val="18"/>
          <w:szCs w:val="20"/>
        </w:rPr>
        <w:t>Cultural adequacy</w:t>
      </w:r>
      <w:r>
        <w:rPr>
          <w:sz w:val="18"/>
          <w:szCs w:val="20"/>
        </w:rPr>
        <w:t>: housing is not adequate if it does not respect and take into account the expression of cultural identity.</w:t>
      </w:r>
    </w:p>
  </w:footnote>
  <w:footnote w:id="25">
    <w:p w14:paraId="59084328" w14:textId="3120BA29" w:rsidR="00DD66AB" w:rsidRPr="007C0DA2" w:rsidRDefault="00DD66AB" w:rsidP="007C0DA2">
      <w:pPr>
        <w:pStyle w:val="FootnoteText"/>
        <w:jc w:val="both"/>
        <w:rPr>
          <w:sz w:val="18"/>
          <w:szCs w:val="18"/>
        </w:rPr>
      </w:pPr>
      <w:r>
        <w:rPr>
          <w:rStyle w:val="FootnoteReference"/>
          <w:sz w:val="18"/>
          <w:szCs w:val="18"/>
        </w:rPr>
        <w:footnoteRef/>
      </w:r>
      <w:r>
        <w:rPr>
          <w:sz w:val="18"/>
          <w:szCs w:val="18"/>
        </w:rPr>
        <w:t xml:space="preserve"> These are indicative numbers, since the assessment is not representative for all rented households, and excluded the wealthiest ones. This could still be the case, if all of the host community was taken into consideration (rather than only those households that are renting in the selected communities): it is very likely that non-renting host community households are in a significantly better situation. </w:t>
      </w:r>
    </w:p>
  </w:footnote>
  <w:footnote w:id="26">
    <w:p w14:paraId="7D379C30" w14:textId="209300AB" w:rsidR="00DD66AB" w:rsidRPr="00FD59C9" w:rsidRDefault="00DD66AB">
      <w:pPr>
        <w:pStyle w:val="FootnoteText"/>
        <w:rPr>
          <w:sz w:val="18"/>
          <w:szCs w:val="18"/>
          <w:lang w:val="en-GB"/>
        </w:rPr>
      </w:pPr>
      <w:r w:rsidRPr="00FD59C9">
        <w:rPr>
          <w:rStyle w:val="FootnoteReference"/>
          <w:sz w:val="18"/>
          <w:szCs w:val="18"/>
        </w:rPr>
        <w:footnoteRef/>
      </w:r>
      <w:r w:rsidRPr="00FD59C9">
        <w:rPr>
          <w:sz w:val="18"/>
          <w:szCs w:val="18"/>
          <w:lang w:val="en-GB"/>
        </w:rPr>
        <w:t xml:space="preserve"> </w:t>
      </w:r>
      <w:r w:rsidRPr="00FD59C9">
        <w:rPr>
          <w:sz w:val="18"/>
          <w:szCs w:val="18"/>
        </w:rPr>
        <w:t>GoIRA (2015</w:t>
      </w:r>
      <w:r>
        <w:rPr>
          <w:sz w:val="18"/>
          <w:szCs w:val="18"/>
        </w:rPr>
        <w:t xml:space="preserve">) State of Afghan Cities Report, </w:t>
      </w:r>
      <w:r w:rsidRPr="00FD59C9">
        <w:rPr>
          <w:sz w:val="18"/>
          <w:szCs w:val="18"/>
        </w:rPr>
        <w:t>quoted in UN-H</w:t>
      </w:r>
      <w:r>
        <w:rPr>
          <w:sz w:val="18"/>
          <w:szCs w:val="18"/>
        </w:rPr>
        <w:t>abitat, MUDH (2017).</w:t>
      </w:r>
    </w:p>
  </w:footnote>
  <w:footnote w:id="27">
    <w:p w14:paraId="28FD8EB0" w14:textId="69FF6411" w:rsidR="00DD66AB" w:rsidRPr="00FD59C9" w:rsidRDefault="00DD66AB">
      <w:pPr>
        <w:pStyle w:val="FootnoteText"/>
        <w:rPr>
          <w:sz w:val="18"/>
          <w:szCs w:val="18"/>
        </w:rPr>
      </w:pPr>
      <w:r w:rsidRPr="00FD59C9">
        <w:rPr>
          <w:rStyle w:val="FootnoteReference"/>
          <w:sz w:val="18"/>
          <w:szCs w:val="18"/>
        </w:rPr>
        <w:footnoteRef/>
      </w:r>
      <w:r>
        <w:rPr>
          <w:sz w:val="18"/>
          <w:szCs w:val="18"/>
        </w:rPr>
        <w:t xml:space="preserve"> </w:t>
      </w:r>
      <w:r w:rsidRPr="00FD59C9">
        <w:rPr>
          <w:sz w:val="18"/>
          <w:szCs w:val="18"/>
        </w:rPr>
        <w:t>GoIRA (2015)</w:t>
      </w:r>
    </w:p>
  </w:footnote>
  <w:footnote w:id="28">
    <w:p w14:paraId="585081BA" w14:textId="77777777" w:rsidR="00DD66AB" w:rsidRPr="0068076D" w:rsidRDefault="00DD66AB" w:rsidP="001D104A">
      <w:pPr>
        <w:pStyle w:val="FootnoteText"/>
      </w:pPr>
      <w:r w:rsidRPr="00680945">
        <w:rPr>
          <w:rStyle w:val="FootnoteReference"/>
          <w:sz w:val="18"/>
        </w:rPr>
        <w:footnoteRef/>
      </w:r>
      <w:r>
        <w:rPr>
          <w:sz w:val="18"/>
        </w:rPr>
        <w:t xml:space="preserve"> NRC, (2016).</w:t>
      </w:r>
    </w:p>
  </w:footnote>
  <w:footnote w:id="29">
    <w:p w14:paraId="47C47847" w14:textId="48325564" w:rsidR="00DD66AB" w:rsidRPr="005A0C3C" w:rsidRDefault="00DD66AB">
      <w:pPr>
        <w:pStyle w:val="FootnoteText"/>
      </w:pPr>
      <w:r w:rsidRPr="000D465C">
        <w:rPr>
          <w:rStyle w:val="FootnoteReference"/>
          <w:sz w:val="18"/>
        </w:rPr>
        <w:footnoteRef/>
      </w:r>
      <w:r w:rsidRPr="000D465C">
        <w:rPr>
          <w:sz w:val="18"/>
        </w:rPr>
        <w:t xml:space="preserve"> Due to a small number of cases this relationship is not robust</w:t>
      </w:r>
      <w:r>
        <w:rPr>
          <w:sz w:val="18"/>
        </w:rPr>
        <w:t>.</w:t>
      </w:r>
    </w:p>
  </w:footnote>
  <w:footnote w:id="30">
    <w:p w14:paraId="51AEA9AB" w14:textId="6AB59820" w:rsidR="00DD66AB" w:rsidRPr="00201D45" w:rsidRDefault="00DD66AB" w:rsidP="00782190">
      <w:pPr>
        <w:pStyle w:val="FootnoteText"/>
        <w:rPr>
          <w:sz w:val="18"/>
          <w:szCs w:val="18"/>
        </w:rPr>
      </w:pPr>
      <w:r w:rsidRPr="00201D45">
        <w:rPr>
          <w:rStyle w:val="FootnoteReference"/>
          <w:sz w:val="18"/>
          <w:szCs w:val="18"/>
        </w:rPr>
        <w:footnoteRef/>
      </w:r>
      <w:r>
        <w:rPr>
          <w:sz w:val="18"/>
          <w:szCs w:val="18"/>
        </w:rPr>
        <w:t xml:space="preserve"> UN-</w:t>
      </w:r>
      <w:r w:rsidRPr="00201D45">
        <w:rPr>
          <w:sz w:val="18"/>
          <w:szCs w:val="18"/>
        </w:rPr>
        <w:t>Habitat describes Grawee system as “housing mechanism whereby the owner leases their housing unit to a tenant for a fixed-period of time in exchange for a lump sum, upfront payment to be fully returned to the borrower upon conclusion of the term</w:t>
      </w:r>
      <w:r>
        <w:rPr>
          <w:sz w:val="18"/>
          <w:szCs w:val="18"/>
        </w:rPr>
        <w:t>.</w:t>
      </w:r>
      <w:r w:rsidRPr="00201D45">
        <w:rPr>
          <w:sz w:val="18"/>
          <w:szCs w:val="18"/>
        </w:rPr>
        <w:t xml:space="preserve">” </w:t>
      </w:r>
    </w:p>
  </w:footnote>
  <w:footnote w:id="31">
    <w:p w14:paraId="34AFD85E" w14:textId="36BFB4CF" w:rsidR="00DD66AB" w:rsidRPr="00201D45" w:rsidRDefault="00DD66AB" w:rsidP="00782190">
      <w:pPr>
        <w:pStyle w:val="FootnoteText"/>
        <w:rPr>
          <w:sz w:val="18"/>
          <w:szCs w:val="18"/>
          <w:lang w:val="en-GB"/>
        </w:rPr>
      </w:pPr>
      <w:r w:rsidRPr="00201D45">
        <w:rPr>
          <w:rStyle w:val="FootnoteReference"/>
          <w:sz w:val="18"/>
          <w:szCs w:val="18"/>
        </w:rPr>
        <w:footnoteRef/>
      </w:r>
      <w:r w:rsidR="00700747">
        <w:rPr>
          <w:sz w:val="18"/>
          <w:szCs w:val="18"/>
          <w:lang w:val="en-GB"/>
        </w:rPr>
        <w:t xml:space="preserve"> ODI, (2018) </w:t>
      </w:r>
      <w:r w:rsidR="00700747" w:rsidRPr="00700747">
        <w:rPr>
          <w:i/>
          <w:sz w:val="18"/>
          <w:szCs w:val="18"/>
          <w:lang w:val="en-GB"/>
        </w:rPr>
        <w:t>Urban humanitarian response: challenges and opportunities.</w:t>
      </w:r>
    </w:p>
  </w:footnote>
  <w:footnote w:id="32">
    <w:p w14:paraId="5F0C2906" w14:textId="6C41008E" w:rsidR="00DD66AB" w:rsidRDefault="00DD66AB" w:rsidP="00782190">
      <w:pPr>
        <w:autoSpaceDE w:val="0"/>
        <w:autoSpaceDN w:val="0"/>
        <w:adjustRightInd w:val="0"/>
        <w:rPr>
          <w:sz w:val="18"/>
          <w:szCs w:val="18"/>
        </w:rPr>
      </w:pPr>
      <w:r>
        <w:rPr>
          <w:rStyle w:val="FootnoteReference"/>
          <w:sz w:val="18"/>
          <w:szCs w:val="18"/>
        </w:rPr>
        <w:footnoteRef/>
      </w:r>
      <w:r>
        <w:rPr>
          <w:sz w:val="18"/>
          <w:szCs w:val="18"/>
        </w:rPr>
        <w:t xml:space="preserve"> “This is in large part because of the infusion of international aid, the rapid growth of the service sector and, to a lesser extent, the development of the industrial sector. These developments should however be seen in the context of the country’s economic meltdown during decades of war and conflict. The country is consequently highly dependent on security and development aid, which accounted for about 70% of the national budget during the period 2013-14.” </w:t>
      </w:r>
      <w:r w:rsidR="00700747" w:rsidRPr="00C446F2">
        <w:rPr>
          <w:sz w:val="18"/>
          <w:szCs w:val="18"/>
          <w:lang w:val="sv-SE"/>
        </w:rPr>
        <w:t>UN-Habitat,</w:t>
      </w:r>
      <w:r w:rsidR="00700747" w:rsidRPr="0068076D">
        <w:rPr>
          <w:sz w:val="18"/>
          <w:szCs w:val="18"/>
          <w:lang w:val="sv-SE"/>
        </w:rPr>
        <w:t xml:space="preserve"> MUDH, </w:t>
      </w:r>
      <w:r w:rsidR="00700747">
        <w:rPr>
          <w:sz w:val="18"/>
          <w:szCs w:val="18"/>
          <w:lang w:val="sv-SE"/>
        </w:rPr>
        <w:t>(</w:t>
      </w:r>
      <w:r w:rsidR="00700747" w:rsidRPr="0068076D">
        <w:rPr>
          <w:sz w:val="18"/>
          <w:szCs w:val="18"/>
          <w:lang w:val="sv-SE"/>
        </w:rPr>
        <w:t>2017</w:t>
      </w:r>
      <w:r w:rsidR="00700747">
        <w:rPr>
          <w:sz w:val="18"/>
          <w:szCs w:val="18"/>
          <w:lang w:val="sv-SE"/>
        </w:rPr>
        <w:t xml:space="preserve">) </w:t>
      </w:r>
      <w:r w:rsidR="00700747" w:rsidRPr="00355095">
        <w:rPr>
          <w:i/>
          <w:sz w:val="18"/>
          <w:szCs w:val="18"/>
          <w:lang w:val="sv-SE"/>
        </w:rPr>
        <w:t>Afghanistan Housing Profile</w:t>
      </w:r>
      <w:r w:rsidR="00700747">
        <w:rPr>
          <w:i/>
          <w:sz w:val="18"/>
          <w:szCs w:val="18"/>
          <w:lang w:val="sv-SE"/>
        </w:rPr>
        <w:t>.</w:t>
      </w:r>
      <w:r w:rsidR="00700747" w:rsidRPr="00355095">
        <w:rPr>
          <w:sz w:val="18"/>
          <w:szCs w:val="18"/>
          <w:lang w:val="sv-SE"/>
        </w:rPr>
        <w:t xml:space="preserve">  </w:t>
      </w:r>
    </w:p>
    <w:p w14:paraId="4482EAC7" w14:textId="6C4D839B" w:rsidR="00DD66AB" w:rsidRDefault="00DD66AB" w:rsidP="00782190">
      <w:pPr>
        <w:pStyle w:val="FootnoteText"/>
      </w:pPr>
      <w:r w:rsidRPr="0068076D" w:rsidDel="0023127D">
        <w:rPr>
          <w:sz w:val="18"/>
          <w:szCs w:val="18"/>
        </w:rPr>
        <w:t xml:space="preserve"> </w:t>
      </w:r>
    </w:p>
  </w:footnote>
  <w:footnote w:id="33">
    <w:p w14:paraId="6D75AE5B" w14:textId="1A438B34" w:rsidR="00DD66AB" w:rsidRDefault="00DD66AB" w:rsidP="00782190">
      <w:pPr>
        <w:autoSpaceDE w:val="0"/>
        <w:autoSpaceDN w:val="0"/>
        <w:adjustRightInd w:val="0"/>
        <w:rPr>
          <w:sz w:val="18"/>
          <w:szCs w:val="18"/>
        </w:rPr>
      </w:pPr>
      <w:r>
        <w:rPr>
          <w:rStyle w:val="FootnoteReference"/>
          <w:sz w:val="18"/>
          <w:szCs w:val="18"/>
        </w:rPr>
        <w:footnoteRef/>
      </w:r>
      <w:r>
        <w:rPr>
          <w:sz w:val="18"/>
          <w:szCs w:val="18"/>
        </w:rPr>
        <w:t xml:space="preserve"> “The geographical targeting of aid and the types of jobs that it has generated has contributed significantly to increased income inequality. There is thus considerable variation in housing affordability between regions, which is also reflected in the housing market and housing stock.”</w:t>
      </w:r>
    </w:p>
    <w:p w14:paraId="56AEBFA2" w14:textId="77777777" w:rsidR="00DD66AB" w:rsidRDefault="00DD66AB" w:rsidP="00782190">
      <w:pPr>
        <w:pStyle w:val="FootnoteText"/>
      </w:pPr>
    </w:p>
  </w:footnote>
  <w:footnote w:id="34">
    <w:p w14:paraId="0155C167" w14:textId="7E9309FE" w:rsidR="00DD66AB" w:rsidRPr="00BA40EF" w:rsidRDefault="00DD66AB" w:rsidP="00BA40EF">
      <w:pPr>
        <w:pStyle w:val="FootnoteText"/>
        <w:jc w:val="both"/>
        <w:rPr>
          <w:rFonts w:cstheme="majorHAnsi"/>
          <w:color w:val="FF0000"/>
          <w:sz w:val="18"/>
          <w:szCs w:val="18"/>
        </w:rPr>
      </w:pPr>
      <w:r>
        <w:rPr>
          <w:rStyle w:val="FootnoteReference"/>
          <w:sz w:val="18"/>
          <w:szCs w:val="18"/>
        </w:rPr>
        <w:footnoteRef/>
      </w:r>
      <w:r>
        <w:rPr>
          <w:sz w:val="18"/>
          <w:szCs w:val="18"/>
        </w:rPr>
        <w:t xml:space="preserve"> </w:t>
      </w:r>
      <w:r>
        <w:rPr>
          <w:rFonts w:eastAsia="AGaramondPro-Regular" w:cs="AGaramondPro-Regular"/>
          <w:sz w:val="18"/>
          <w:szCs w:val="18"/>
        </w:rPr>
        <w:t xml:space="preserve"> </w:t>
      </w:r>
      <w:r>
        <w:rPr>
          <w:rFonts w:cstheme="majorHAnsi"/>
          <w:color w:val="000000" w:themeColor="text1"/>
          <w:sz w:val="18"/>
          <w:szCs w:val="18"/>
        </w:rPr>
        <w:t>“Cities and towns are expanding to accommodate rising numbers of rural-urban migrants, internally displaced persons (IDPs) and refugee returnees”. “</w:t>
      </w:r>
      <w:r w:rsidR="004F623D">
        <w:rPr>
          <w:rFonts w:cstheme="majorHAnsi"/>
          <w:color w:val="000000" w:themeColor="text1"/>
          <w:sz w:val="18"/>
          <w:szCs w:val="18"/>
        </w:rPr>
        <w:t>T</w:t>
      </w:r>
      <w:r>
        <w:rPr>
          <w:rFonts w:cstheme="majorHAnsi"/>
          <w:color w:val="000000" w:themeColor="text1"/>
          <w:sz w:val="18"/>
          <w:szCs w:val="18"/>
        </w:rPr>
        <w:t xml:space="preserve">he overwhelming majority of IDPs and returnees in cities are not willing to return to their original provinces and villages. As a partial consequence, about 60% of Afghan returnees are not fully reintegrated into their communities and live far below the standards of other residents of those communities in terms of livelihood, access to land tenure, access to basic services, housing, recognition of rights, and protection. Indeed, the top three priority needs identified by returnees, in order, are:(i) shelter; (ii) access to land; and (iii) livelihoods.” </w:t>
      </w:r>
      <w:r w:rsidR="004178B0" w:rsidRPr="00C446F2">
        <w:rPr>
          <w:sz w:val="18"/>
          <w:szCs w:val="18"/>
          <w:lang w:val="sv-SE"/>
        </w:rPr>
        <w:t>UN-Habitat,</w:t>
      </w:r>
      <w:r w:rsidR="004178B0" w:rsidRPr="0068076D">
        <w:rPr>
          <w:sz w:val="18"/>
          <w:szCs w:val="18"/>
          <w:lang w:val="sv-SE"/>
        </w:rPr>
        <w:t xml:space="preserve"> MUDH, </w:t>
      </w:r>
      <w:r w:rsidR="004178B0">
        <w:rPr>
          <w:sz w:val="18"/>
          <w:szCs w:val="18"/>
          <w:lang w:val="sv-SE"/>
        </w:rPr>
        <w:t>(</w:t>
      </w:r>
      <w:r w:rsidR="004178B0" w:rsidRPr="0068076D">
        <w:rPr>
          <w:sz w:val="18"/>
          <w:szCs w:val="18"/>
          <w:lang w:val="sv-SE"/>
        </w:rPr>
        <w:t>2017</w:t>
      </w:r>
      <w:r w:rsidR="004178B0">
        <w:rPr>
          <w:sz w:val="18"/>
          <w:szCs w:val="18"/>
          <w:lang w:val="sv-SE"/>
        </w:rPr>
        <w:t xml:space="preserve">) </w:t>
      </w:r>
      <w:r w:rsidR="004178B0" w:rsidRPr="00355095">
        <w:rPr>
          <w:i/>
          <w:sz w:val="18"/>
          <w:szCs w:val="18"/>
          <w:lang w:val="sv-SE"/>
        </w:rPr>
        <w:t>Afghanistan Housing Profile</w:t>
      </w:r>
      <w:r w:rsidR="004178B0">
        <w:rPr>
          <w:i/>
          <w:sz w:val="18"/>
          <w:szCs w:val="18"/>
          <w:lang w:val="sv-SE"/>
        </w:rPr>
        <w:t>.</w:t>
      </w:r>
      <w:r w:rsidR="004178B0" w:rsidRPr="00355095">
        <w:rPr>
          <w:sz w:val="18"/>
          <w:szCs w:val="18"/>
          <w:lang w:val="sv-SE"/>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4608"/>
    <w:multiLevelType w:val="hybridMultilevel"/>
    <w:tmpl w:val="BBE4B70C"/>
    <w:lvl w:ilvl="0" w:tplc="4E62657C">
      <w:start w:val="1"/>
      <w:numFmt w:val="decimal"/>
      <w:lvlText w:val="%1."/>
      <w:lvlJc w:val="left"/>
      <w:pPr>
        <w:ind w:left="360" w:hanging="360"/>
      </w:pPr>
      <w:rPr>
        <w:rFonts w:hint="default"/>
        <w:b w:val="0"/>
        <w:i/>
        <w:kern w:val="2"/>
        <w:sz w:val="16"/>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02761C"/>
    <w:multiLevelType w:val="hybridMultilevel"/>
    <w:tmpl w:val="CA16238A"/>
    <w:lvl w:ilvl="0" w:tplc="85A461E8">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E14727"/>
    <w:multiLevelType w:val="multilevel"/>
    <w:tmpl w:val="C8088BE0"/>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3" w15:restartNumberingAfterBreak="0">
    <w:nsid w:val="12614219"/>
    <w:multiLevelType w:val="multilevel"/>
    <w:tmpl w:val="67E073FA"/>
    <w:lvl w:ilvl="0">
      <w:start w:val="5"/>
      <w:numFmt w:val="decimal"/>
      <w:lvlText w:val="%1"/>
      <w:lvlJc w:val="left"/>
      <w:pPr>
        <w:ind w:left="360" w:hanging="360"/>
      </w:pPr>
      <w:rPr>
        <w:rFonts w:hint="default"/>
      </w:rPr>
    </w:lvl>
    <w:lvl w:ilvl="1">
      <w:start w:val="1"/>
      <w:numFmt w:val="upperRoman"/>
      <w:lvlText w:val="%2."/>
      <w:lvlJc w:val="righ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4" w15:restartNumberingAfterBreak="0">
    <w:nsid w:val="13D92F18"/>
    <w:multiLevelType w:val="hybridMultilevel"/>
    <w:tmpl w:val="F36E6FF6"/>
    <w:lvl w:ilvl="0" w:tplc="041D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5" w15:restartNumberingAfterBreak="0">
    <w:nsid w:val="1BCD3BFC"/>
    <w:multiLevelType w:val="hybridMultilevel"/>
    <w:tmpl w:val="52E8E7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503D88"/>
    <w:multiLevelType w:val="multilevel"/>
    <w:tmpl w:val="81BEBF3C"/>
    <w:lvl w:ilvl="0">
      <w:start w:val="5"/>
      <w:numFmt w:val="decimal"/>
      <w:lvlText w:val="%1"/>
      <w:lvlJc w:val="left"/>
      <w:pPr>
        <w:ind w:left="360" w:hanging="360"/>
      </w:pPr>
      <w:rPr>
        <w:rFonts w:hint="default"/>
      </w:rPr>
    </w:lvl>
    <w:lvl w:ilvl="1">
      <w:start w:val="1"/>
      <w:numFmt w:val="lowerRoman"/>
      <w:lvlText w:val="%2."/>
      <w:lvlJc w:val="righ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7" w15:restartNumberingAfterBreak="0">
    <w:nsid w:val="27B04EF2"/>
    <w:multiLevelType w:val="multilevel"/>
    <w:tmpl w:val="67E073FA"/>
    <w:lvl w:ilvl="0">
      <w:start w:val="5"/>
      <w:numFmt w:val="decimal"/>
      <w:lvlText w:val="%1"/>
      <w:lvlJc w:val="left"/>
      <w:pPr>
        <w:ind w:left="360" w:hanging="360"/>
      </w:pPr>
      <w:rPr>
        <w:rFonts w:hint="default"/>
      </w:rPr>
    </w:lvl>
    <w:lvl w:ilvl="1">
      <w:start w:val="1"/>
      <w:numFmt w:val="upperRoman"/>
      <w:lvlText w:val="%2."/>
      <w:lvlJc w:val="righ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8" w15:restartNumberingAfterBreak="0">
    <w:nsid w:val="28690413"/>
    <w:multiLevelType w:val="multilevel"/>
    <w:tmpl w:val="05D2818E"/>
    <w:lvl w:ilvl="0">
      <w:start w:val="5"/>
      <w:numFmt w:val="decimal"/>
      <w:lvlText w:val="%1"/>
      <w:lvlJc w:val="left"/>
      <w:pPr>
        <w:ind w:left="360" w:hanging="360"/>
      </w:pPr>
      <w:rPr>
        <w:rFonts w:hint="default"/>
      </w:rPr>
    </w:lvl>
    <w:lvl w:ilvl="1">
      <w:start w:val="1"/>
      <w:numFmt w:val="upperRoman"/>
      <w:lvlText w:val="%2."/>
      <w:lvlJc w:val="righ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9" w15:restartNumberingAfterBreak="0">
    <w:nsid w:val="30C82C3C"/>
    <w:multiLevelType w:val="hybridMultilevel"/>
    <w:tmpl w:val="91284A26"/>
    <w:lvl w:ilvl="0" w:tplc="9B26B13A">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342362B3"/>
    <w:multiLevelType w:val="multilevel"/>
    <w:tmpl w:val="67E073FA"/>
    <w:lvl w:ilvl="0">
      <w:start w:val="5"/>
      <w:numFmt w:val="decimal"/>
      <w:lvlText w:val="%1"/>
      <w:lvlJc w:val="left"/>
      <w:pPr>
        <w:ind w:left="360" w:hanging="360"/>
      </w:pPr>
      <w:rPr>
        <w:rFonts w:hint="default"/>
      </w:rPr>
    </w:lvl>
    <w:lvl w:ilvl="1">
      <w:start w:val="1"/>
      <w:numFmt w:val="upperRoman"/>
      <w:lvlText w:val="%2."/>
      <w:lvlJc w:val="righ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1" w15:restartNumberingAfterBreak="0">
    <w:nsid w:val="350839CC"/>
    <w:multiLevelType w:val="hybridMultilevel"/>
    <w:tmpl w:val="4E465A54"/>
    <w:lvl w:ilvl="0" w:tplc="F76467F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52266F1"/>
    <w:multiLevelType w:val="multilevel"/>
    <w:tmpl w:val="CE949B9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E5119A"/>
    <w:multiLevelType w:val="hybridMultilevel"/>
    <w:tmpl w:val="6F92A6C2"/>
    <w:lvl w:ilvl="0" w:tplc="43265662">
      <w:start w:val="77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30B18AB"/>
    <w:multiLevelType w:val="hybridMultilevel"/>
    <w:tmpl w:val="1F4609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C1D7C10"/>
    <w:multiLevelType w:val="hybridMultilevel"/>
    <w:tmpl w:val="11B6B556"/>
    <w:lvl w:ilvl="0" w:tplc="F13060B2">
      <w:start w:val="5"/>
      <w:numFmt w:val="upperRoman"/>
      <w:lvlText w:val="%1."/>
      <w:lvlJc w:val="left"/>
      <w:pPr>
        <w:ind w:left="720" w:hanging="720"/>
      </w:pPr>
      <w:rPr>
        <w:rFonts w:hint="default"/>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6" w15:restartNumberingAfterBreak="0">
    <w:nsid w:val="630F10EB"/>
    <w:multiLevelType w:val="multilevel"/>
    <w:tmpl w:val="C8088BE0"/>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7" w15:restartNumberingAfterBreak="0">
    <w:nsid w:val="65D0377D"/>
    <w:multiLevelType w:val="hybridMultilevel"/>
    <w:tmpl w:val="D90431FE"/>
    <w:lvl w:ilvl="0" w:tplc="74E4D58C">
      <w:start w:val="1"/>
      <w:numFmt w:val="upp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8" w15:restartNumberingAfterBreak="0">
    <w:nsid w:val="67154B42"/>
    <w:multiLevelType w:val="multilevel"/>
    <w:tmpl w:val="BEBA9B8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6F282C73"/>
    <w:multiLevelType w:val="multilevel"/>
    <w:tmpl w:val="FA7C27C0"/>
    <w:lvl w:ilvl="0">
      <w:start w:val="1"/>
      <w:numFmt w:val="decimal"/>
      <w:lvlText w:val="%1."/>
      <w:lvlJc w:val="left"/>
      <w:pPr>
        <w:ind w:left="360" w:hanging="360"/>
      </w:pPr>
      <w:rPr>
        <w:rFonts w:hint="default"/>
        <w:b w:val="0"/>
        <w:i/>
        <w:kern w:val="2"/>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1B340D9"/>
    <w:multiLevelType w:val="hybridMultilevel"/>
    <w:tmpl w:val="58A8AAF6"/>
    <w:lvl w:ilvl="0" w:tplc="94424CDE">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0A672D"/>
    <w:multiLevelType w:val="hybridMultilevel"/>
    <w:tmpl w:val="D1E0F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4F3BEB"/>
    <w:multiLevelType w:val="hybridMultilevel"/>
    <w:tmpl w:val="AB8A3B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2401C8"/>
    <w:multiLevelType w:val="hybridMultilevel"/>
    <w:tmpl w:val="C2B062A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B7578DA"/>
    <w:multiLevelType w:val="multilevel"/>
    <w:tmpl w:val="CE949B9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C372500"/>
    <w:multiLevelType w:val="multilevel"/>
    <w:tmpl w:val="22C2F13A"/>
    <w:lvl w:ilvl="0">
      <w:start w:val="5"/>
      <w:numFmt w:val="decimal"/>
      <w:lvlText w:val="%1"/>
      <w:lvlJc w:val="left"/>
      <w:pPr>
        <w:ind w:left="360" w:hanging="360"/>
      </w:pPr>
      <w:rPr>
        <w:rFonts w:hint="default"/>
      </w:rPr>
    </w:lvl>
    <w:lvl w:ilvl="1">
      <w:start w:val="8"/>
      <w:numFmt w:val="upperRoman"/>
      <w:lvlText w:val="%2."/>
      <w:lvlJc w:val="righ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6" w15:restartNumberingAfterBreak="0">
    <w:nsid w:val="7EEF70B1"/>
    <w:multiLevelType w:val="hybridMultilevel"/>
    <w:tmpl w:val="EB20B51A"/>
    <w:lvl w:ilvl="0" w:tplc="EB468E8A">
      <w:start w:val="3"/>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
  </w:num>
  <w:num w:numId="3">
    <w:abstractNumId w:val="14"/>
  </w:num>
  <w:num w:numId="4">
    <w:abstractNumId w:val="21"/>
  </w:num>
  <w:num w:numId="5">
    <w:abstractNumId w:val="1"/>
  </w:num>
  <w:num w:numId="6">
    <w:abstractNumId w:val="24"/>
  </w:num>
  <w:num w:numId="7">
    <w:abstractNumId w:val="16"/>
  </w:num>
  <w:num w:numId="8">
    <w:abstractNumId w:val="18"/>
  </w:num>
  <w:num w:numId="9">
    <w:abstractNumId w:val="6"/>
  </w:num>
  <w:num w:numId="10">
    <w:abstractNumId w:val="10"/>
  </w:num>
  <w:num w:numId="11">
    <w:abstractNumId w:val="7"/>
  </w:num>
  <w:num w:numId="12">
    <w:abstractNumId w:val="15"/>
  </w:num>
  <w:num w:numId="13">
    <w:abstractNumId w:val="22"/>
  </w:num>
  <w:num w:numId="14">
    <w:abstractNumId w:val="26"/>
  </w:num>
  <w:num w:numId="15">
    <w:abstractNumId w:val="20"/>
  </w:num>
  <w:num w:numId="16">
    <w:abstractNumId w:val="8"/>
  </w:num>
  <w:num w:numId="17">
    <w:abstractNumId w:val="25"/>
  </w:num>
  <w:num w:numId="18">
    <w:abstractNumId w:val="9"/>
  </w:num>
  <w:num w:numId="19">
    <w:abstractNumId w:val="3"/>
  </w:num>
  <w:num w:numId="20">
    <w:abstractNumId w:val="17"/>
  </w:num>
  <w:num w:numId="21">
    <w:abstractNumId w:val="13"/>
  </w:num>
  <w:num w:numId="22">
    <w:abstractNumId w:val="23"/>
  </w:num>
  <w:num w:numId="23">
    <w:abstractNumId w:val="5"/>
  </w:num>
  <w:num w:numId="24">
    <w:abstractNumId w:val="19"/>
  </w:num>
  <w:num w:numId="25">
    <w:abstractNumId w:val="11"/>
  </w:num>
  <w:num w:numId="26">
    <w:abstractNumId w:val="25"/>
    <w:lvlOverride w:ilvl="0">
      <w:startOverride w:val="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75D"/>
    <w:rsid w:val="000007C2"/>
    <w:rsid w:val="00000BB9"/>
    <w:rsid w:val="00001D12"/>
    <w:rsid w:val="000044B6"/>
    <w:rsid w:val="00005235"/>
    <w:rsid w:val="00006DD4"/>
    <w:rsid w:val="00007930"/>
    <w:rsid w:val="0001220F"/>
    <w:rsid w:val="000127FC"/>
    <w:rsid w:val="00013944"/>
    <w:rsid w:val="0001660F"/>
    <w:rsid w:val="000178A9"/>
    <w:rsid w:val="00017BF4"/>
    <w:rsid w:val="000204DA"/>
    <w:rsid w:val="0002176E"/>
    <w:rsid w:val="00023277"/>
    <w:rsid w:val="000246B8"/>
    <w:rsid w:val="000250E7"/>
    <w:rsid w:val="000260D0"/>
    <w:rsid w:val="00026437"/>
    <w:rsid w:val="00026536"/>
    <w:rsid w:val="000277EB"/>
    <w:rsid w:val="00030336"/>
    <w:rsid w:val="000306B3"/>
    <w:rsid w:val="00030F7A"/>
    <w:rsid w:val="0003504D"/>
    <w:rsid w:val="000357F4"/>
    <w:rsid w:val="00037C4D"/>
    <w:rsid w:val="000407C0"/>
    <w:rsid w:val="00040CC5"/>
    <w:rsid w:val="00041397"/>
    <w:rsid w:val="0004508B"/>
    <w:rsid w:val="0004697C"/>
    <w:rsid w:val="00046E93"/>
    <w:rsid w:val="00046FEF"/>
    <w:rsid w:val="00050A99"/>
    <w:rsid w:val="00050CAC"/>
    <w:rsid w:val="00051068"/>
    <w:rsid w:val="00051C41"/>
    <w:rsid w:val="00051F4D"/>
    <w:rsid w:val="00052219"/>
    <w:rsid w:val="0005269F"/>
    <w:rsid w:val="000529D3"/>
    <w:rsid w:val="00052BE7"/>
    <w:rsid w:val="00053DDB"/>
    <w:rsid w:val="00060B0E"/>
    <w:rsid w:val="00061281"/>
    <w:rsid w:val="00061412"/>
    <w:rsid w:val="00064C89"/>
    <w:rsid w:val="0006665C"/>
    <w:rsid w:val="00070976"/>
    <w:rsid w:val="00070A1D"/>
    <w:rsid w:val="00073295"/>
    <w:rsid w:val="000742E6"/>
    <w:rsid w:val="000745E5"/>
    <w:rsid w:val="00075050"/>
    <w:rsid w:val="0007578D"/>
    <w:rsid w:val="00077353"/>
    <w:rsid w:val="00080DEF"/>
    <w:rsid w:val="0008102C"/>
    <w:rsid w:val="00082C70"/>
    <w:rsid w:val="00083C04"/>
    <w:rsid w:val="000851EE"/>
    <w:rsid w:val="000858FA"/>
    <w:rsid w:val="00086A01"/>
    <w:rsid w:val="00086F3C"/>
    <w:rsid w:val="000875BF"/>
    <w:rsid w:val="000901B3"/>
    <w:rsid w:val="000929A7"/>
    <w:rsid w:val="00093BD4"/>
    <w:rsid w:val="000945FB"/>
    <w:rsid w:val="00094A64"/>
    <w:rsid w:val="00094F9B"/>
    <w:rsid w:val="000967D6"/>
    <w:rsid w:val="0009728E"/>
    <w:rsid w:val="000975DF"/>
    <w:rsid w:val="000A17FF"/>
    <w:rsid w:val="000A3BC6"/>
    <w:rsid w:val="000A5230"/>
    <w:rsid w:val="000A5265"/>
    <w:rsid w:val="000A5494"/>
    <w:rsid w:val="000A6660"/>
    <w:rsid w:val="000A70BD"/>
    <w:rsid w:val="000A70D0"/>
    <w:rsid w:val="000A765A"/>
    <w:rsid w:val="000B06F2"/>
    <w:rsid w:val="000B1753"/>
    <w:rsid w:val="000B17CD"/>
    <w:rsid w:val="000B2368"/>
    <w:rsid w:val="000B3B28"/>
    <w:rsid w:val="000B5C68"/>
    <w:rsid w:val="000B5DDC"/>
    <w:rsid w:val="000B6D91"/>
    <w:rsid w:val="000B7B9B"/>
    <w:rsid w:val="000B7BDF"/>
    <w:rsid w:val="000C0E46"/>
    <w:rsid w:val="000C380A"/>
    <w:rsid w:val="000C587D"/>
    <w:rsid w:val="000C6A24"/>
    <w:rsid w:val="000C6F8B"/>
    <w:rsid w:val="000D0AC1"/>
    <w:rsid w:val="000D1165"/>
    <w:rsid w:val="000D19E4"/>
    <w:rsid w:val="000D365D"/>
    <w:rsid w:val="000D36A6"/>
    <w:rsid w:val="000D380C"/>
    <w:rsid w:val="000D465C"/>
    <w:rsid w:val="000D54AC"/>
    <w:rsid w:val="000D5963"/>
    <w:rsid w:val="000D5B20"/>
    <w:rsid w:val="000E2BDC"/>
    <w:rsid w:val="000E3D91"/>
    <w:rsid w:val="000E3F16"/>
    <w:rsid w:val="000E4DD6"/>
    <w:rsid w:val="000E6268"/>
    <w:rsid w:val="000E7DC6"/>
    <w:rsid w:val="000F058C"/>
    <w:rsid w:val="000F1960"/>
    <w:rsid w:val="000F41F9"/>
    <w:rsid w:val="000F5187"/>
    <w:rsid w:val="000F6B93"/>
    <w:rsid w:val="00105082"/>
    <w:rsid w:val="00105C45"/>
    <w:rsid w:val="00107279"/>
    <w:rsid w:val="00107B1B"/>
    <w:rsid w:val="00111BFB"/>
    <w:rsid w:val="0011235A"/>
    <w:rsid w:val="001129BE"/>
    <w:rsid w:val="00113149"/>
    <w:rsid w:val="00113347"/>
    <w:rsid w:val="00113A2B"/>
    <w:rsid w:val="0011456F"/>
    <w:rsid w:val="00115A3E"/>
    <w:rsid w:val="00117BDF"/>
    <w:rsid w:val="00117C17"/>
    <w:rsid w:val="001209E5"/>
    <w:rsid w:val="001230AE"/>
    <w:rsid w:val="00124056"/>
    <w:rsid w:val="00124A2E"/>
    <w:rsid w:val="00124C9E"/>
    <w:rsid w:val="00131B68"/>
    <w:rsid w:val="00132150"/>
    <w:rsid w:val="001322F9"/>
    <w:rsid w:val="001329FC"/>
    <w:rsid w:val="00132EDD"/>
    <w:rsid w:val="00133B17"/>
    <w:rsid w:val="00134808"/>
    <w:rsid w:val="00134A3E"/>
    <w:rsid w:val="00136FDF"/>
    <w:rsid w:val="00141127"/>
    <w:rsid w:val="001425D1"/>
    <w:rsid w:val="00142C52"/>
    <w:rsid w:val="001449E4"/>
    <w:rsid w:val="00144B82"/>
    <w:rsid w:val="001455B2"/>
    <w:rsid w:val="00146492"/>
    <w:rsid w:val="00147ED8"/>
    <w:rsid w:val="00151F58"/>
    <w:rsid w:val="001528B2"/>
    <w:rsid w:val="0015324D"/>
    <w:rsid w:val="00153720"/>
    <w:rsid w:val="00153D35"/>
    <w:rsid w:val="00153E69"/>
    <w:rsid w:val="00160617"/>
    <w:rsid w:val="001614FB"/>
    <w:rsid w:val="00162C51"/>
    <w:rsid w:val="00163E0C"/>
    <w:rsid w:val="00166095"/>
    <w:rsid w:val="00166385"/>
    <w:rsid w:val="00171E71"/>
    <w:rsid w:val="00173699"/>
    <w:rsid w:val="00174886"/>
    <w:rsid w:val="001752E4"/>
    <w:rsid w:val="00177641"/>
    <w:rsid w:val="001833CC"/>
    <w:rsid w:val="00183DD4"/>
    <w:rsid w:val="00184D64"/>
    <w:rsid w:val="00185907"/>
    <w:rsid w:val="001916BF"/>
    <w:rsid w:val="00194A40"/>
    <w:rsid w:val="00194DB7"/>
    <w:rsid w:val="00195210"/>
    <w:rsid w:val="0019575E"/>
    <w:rsid w:val="00197620"/>
    <w:rsid w:val="00197F76"/>
    <w:rsid w:val="001A361E"/>
    <w:rsid w:val="001A3CC0"/>
    <w:rsid w:val="001A4498"/>
    <w:rsid w:val="001A4CAD"/>
    <w:rsid w:val="001A4E25"/>
    <w:rsid w:val="001A518F"/>
    <w:rsid w:val="001A610A"/>
    <w:rsid w:val="001A6418"/>
    <w:rsid w:val="001B0803"/>
    <w:rsid w:val="001B1741"/>
    <w:rsid w:val="001B17A5"/>
    <w:rsid w:val="001B2357"/>
    <w:rsid w:val="001B3A55"/>
    <w:rsid w:val="001B4715"/>
    <w:rsid w:val="001B4BA8"/>
    <w:rsid w:val="001B4C68"/>
    <w:rsid w:val="001C0235"/>
    <w:rsid w:val="001C17FB"/>
    <w:rsid w:val="001C4C39"/>
    <w:rsid w:val="001C4DED"/>
    <w:rsid w:val="001C73DF"/>
    <w:rsid w:val="001D104A"/>
    <w:rsid w:val="001D1AD4"/>
    <w:rsid w:val="001D2318"/>
    <w:rsid w:val="001D2F22"/>
    <w:rsid w:val="001D4A88"/>
    <w:rsid w:val="001D6895"/>
    <w:rsid w:val="001E0621"/>
    <w:rsid w:val="001E0FA7"/>
    <w:rsid w:val="001E1593"/>
    <w:rsid w:val="001E320D"/>
    <w:rsid w:val="001E33FA"/>
    <w:rsid w:val="001E48AC"/>
    <w:rsid w:val="001E59A1"/>
    <w:rsid w:val="001E64DE"/>
    <w:rsid w:val="001E679E"/>
    <w:rsid w:val="001E716F"/>
    <w:rsid w:val="001F161D"/>
    <w:rsid w:val="001F1B0A"/>
    <w:rsid w:val="001F47D6"/>
    <w:rsid w:val="001F4886"/>
    <w:rsid w:val="001F4C48"/>
    <w:rsid w:val="001F526F"/>
    <w:rsid w:val="001F5E3A"/>
    <w:rsid w:val="001F760F"/>
    <w:rsid w:val="002018DC"/>
    <w:rsid w:val="00201D45"/>
    <w:rsid w:val="0020226F"/>
    <w:rsid w:val="00202D9C"/>
    <w:rsid w:val="0020534B"/>
    <w:rsid w:val="00206812"/>
    <w:rsid w:val="002077E9"/>
    <w:rsid w:val="00207AF0"/>
    <w:rsid w:val="0021383B"/>
    <w:rsid w:val="00213971"/>
    <w:rsid w:val="00213B8D"/>
    <w:rsid w:val="00215C35"/>
    <w:rsid w:val="0022019C"/>
    <w:rsid w:val="0022042A"/>
    <w:rsid w:val="00220493"/>
    <w:rsid w:val="00220539"/>
    <w:rsid w:val="002208C6"/>
    <w:rsid w:val="0022140C"/>
    <w:rsid w:val="0022240D"/>
    <w:rsid w:val="002225AD"/>
    <w:rsid w:val="002228AA"/>
    <w:rsid w:val="00222F8F"/>
    <w:rsid w:val="00223E0B"/>
    <w:rsid w:val="0022415C"/>
    <w:rsid w:val="002251A6"/>
    <w:rsid w:val="0023127D"/>
    <w:rsid w:val="00231775"/>
    <w:rsid w:val="00231D05"/>
    <w:rsid w:val="002324FD"/>
    <w:rsid w:val="00233709"/>
    <w:rsid w:val="00235F75"/>
    <w:rsid w:val="00237721"/>
    <w:rsid w:val="00241474"/>
    <w:rsid w:val="00242288"/>
    <w:rsid w:val="00242507"/>
    <w:rsid w:val="00243141"/>
    <w:rsid w:val="00244578"/>
    <w:rsid w:val="00246788"/>
    <w:rsid w:val="00251BC3"/>
    <w:rsid w:val="00252344"/>
    <w:rsid w:val="00253958"/>
    <w:rsid w:val="00254F2C"/>
    <w:rsid w:val="00255484"/>
    <w:rsid w:val="00257D65"/>
    <w:rsid w:val="00260295"/>
    <w:rsid w:val="002628EA"/>
    <w:rsid w:val="002630A3"/>
    <w:rsid w:val="002640E5"/>
    <w:rsid w:val="002649FC"/>
    <w:rsid w:val="002654E0"/>
    <w:rsid w:val="0026791F"/>
    <w:rsid w:val="00270162"/>
    <w:rsid w:val="0027035E"/>
    <w:rsid w:val="00271271"/>
    <w:rsid w:val="002722D0"/>
    <w:rsid w:val="00275564"/>
    <w:rsid w:val="00277F66"/>
    <w:rsid w:val="002806A2"/>
    <w:rsid w:val="002811AD"/>
    <w:rsid w:val="002827B4"/>
    <w:rsid w:val="00282D4B"/>
    <w:rsid w:val="00284442"/>
    <w:rsid w:val="002846C9"/>
    <w:rsid w:val="002913EB"/>
    <w:rsid w:val="00291879"/>
    <w:rsid w:val="00293794"/>
    <w:rsid w:val="0029527D"/>
    <w:rsid w:val="002957C2"/>
    <w:rsid w:val="0029636C"/>
    <w:rsid w:val="00296610"/>
    <w:rsid w:val="002A1190"/>
    <w:rsid w:val="002A18B0"/>
    <w:rsid w:val="002A5162"/>
    <w:rsid w:val="002A6069"/>
    <w:rsid w:val="002A6413"/>
    <w:rsid w:val="002A6F8F"/>
    <w:rsid w:val="002A7CBB"/>
    <w:rsid w:val="002A7F41"/>
    <w:rsid w:val="002B06D9"/>
    <w:rsid w:val="002B081C"/>
    <w:rsid w:val="002B24D3"/>
    <w:rsid w:val="002B31E3"/>
    <w:rsid w:val="002B346C"/>
    <w:rsid w:val="002B3BCD"/>
    <w:rsid w:val="002B5180"/>
    <w:rsid w:val="002B57AB"/>
    <w:rsid w:val="002B63EB"/>
    <w:rsid w:val="002B69FF"/>
    <w:rsid w:val="002C0996"/>
    <w:rsid w:val="002C2B88"/>
    <w:rsid w:val="002C2D24"/>
    <w:rsid w:val="002C644F"/>
    <w:rsid w:val="002C72A1"/>
    <w:rsid w:val="002C7E79"/>
    <w:rsid w:val="002C7E89"/>
    <w:rsid w:val="002D00AC"/>
    <w:rsid w:val="002D2407"/>
    <w:rsid w:val="002D3321"/>
    <w:rsid w:val="002D4726"/>
    <w:rsid w:val="002D4B50"/>
    <w:rsid w:val="002D4BDF"/>
    <w:rsid w:val="002D4C18"/>
    <w:rsid w:val="002D6CD2"/>
    <w:rsid w:val="002D74D3"/>
    <w:rsid w:val="002E0401"/>
    <w:rsid w:val="002E19A3"/>
    <w:rsid w:val="002E1FEF"/>
    <w:rsid w:val="002E2503"/>
    <w:rsid w:val="002E3419"/>
    <w:rsid w:val="002E3429"/>
    <w:rsid w:val="002E4D6B"/>
    <w:rsid w:val="002E4E75"/>
    <w:rsid w:val="002E68A7"/>
    <w:rsid w:val="002F0DCF"/>
    <w:rsid w:val="002F18F9"/>
    <w:rsid w:val="002F50DB"/>
    <w:rsid w:val="002F62BD"/>
    <w:rsid w:val="002F6F13"/>
    <w:rsid w:val="0030024B"/>
    <w:rsid w:val="00300468"/>
    <w:rsid w:val="003009C9"/>
    <w:rsid w:val="00301B1F"/>
    <w:rsid w:val="00302D55"/>
    <w:rsid w:val="0030485C"/>
    <w:rsid w:val="00304E88"/>
    <w:rsid w:val="00305017"/>
    <w:rsid w:val="00305755"/>
    <w:rsid w:val="003105FF"/>
    <w:rsid w:val="00310827"/>
    <w:rsid w:val="00313A6C"/>
    <w:rsid w:val="0031494B"/>
    <w:rsid w:val="00316BFC"/>
    <w:rsid w:val="00316F56"/>
    <w:rsid w:val="00317E23"/>
    <w:rsid w:val="00320013"/>
    <w:rsid w:val="00322696"/>
    <w:rsid w:val="003241D3"/>
    <w:rsid w:val="003316A1"/>
    <w:rsid w:val="00332533"/>
    <w:rsid w:val="003335CE"/>
    <w:rsid w:val="00333FB5"/>
    <w:rsid w:val="0033523F"/>
    <w:rsid w:val="00335460"/>
    <w:rsid w:val="00337E2F"/>
    <w:rsid w:val="0034747D"/>
    <w:rsid w:val="003478EE"/>
    <w:rsid w:val="00352188"/>
    <w:rsid w:val="00352852"/>
    <w:rsid w:val="00354EAE"/>
    <w:rsid w:val="00355095"/>
    <w:rsid w:val="00356DFF"/>
    <w:rsid w:val="0035788C"/>
    <w:rsid w:val="003615C7"/>
    <w:rsid w:val="00361FDD"/>
    <w:rsid w:val="00362041"/>
    <w:rsid w:val="003642FF"/>
    <w:rsid w:val="00367A50"/>
    <w:rsid w:val="00370E2E"/>
    <w:rsid w:val="00372122"/>
    <w:rsid w:val="00373486"/>
    <w:rsid w:val="003754BA"/>
    <w:rsid w:val="00375BC0"/>
    <w:rsid w:val="0037747E"/>
    <w:rsid w:val="0038317D"/>
    <w:rsid w:val="00384801"/>
    <w:rsid w:val="003852B2"/>
    <w:rsid w:val="003858E1"/>
    <w:rsid w:val="00385AAA"/>
    <w:rsid w:val="0038607F"/>
    <w:rsid w:val="003872ED"/>
    <w:rsid w:val="00392AD1"/>
    <w:rsid w:val="0039513B"/>
    <w:rsid w:val="003964F8"/>
    <w:rsid w:val="003A0964"/>
    <w:rsid w:val="003A1FC8"/>
    <w:rsid w:val="003A3D28"/>
    <w:rsid w:val="003A5097"/>
    <w:rsid w:val="003A5417"/>
    <w:rsid w:val="003A63FB"/>
    <w:rsid w:val="003B057B"/>
    <w:rsid w:val="003B0C51"/>
    <w:rsid w:val="003B152A"/>
    <w:rsid w:val="003B24C3"/>
    <w:rsid w:val="003B3826"/>
    <w:rsid w:val="003B4A8A"/>
    <w:rsid w:val="003B508F"/>
    <w:rsid w:val="003B60F4"/>
    <w:rsid w:val="003B6F12"/>
    <w:rsid w:val="003B77E1"/>
    <w:rsid w:val="003C1424"/>
    <w:rsid w:val="003C1994"/>
    <w:rsid w:val="003C4C81"/>
    <w:rsid w:val="003C5161"/>
    <w:rsid w:val="003D40EA"/>
    <w:rsid w:val="003D5A98"/>
    <w:rsid w:val="003D7C7B"/>
    <w:rsid w:val="003E3ABE"/>
    <w:rsid w:val="003E3C53"/>
    <w:rsid w:val="003E5268"/>
    <w:rsid w:val="003F0679"/>
    <w:rsid w:val="003F07D0"/>
    <w:rsid w:val="003F3AE9"/>
    <w:rsid w:val="003F5274"/>
    <w:rsid w:val="003F7F30"/>
    <w:rsid w:val="00401218"/>
    <w:rsid w:val="00402F95"/>
    <w:rsid w:val="00403C32"/>
    <w:rsid w:val="004126EC"/>
    <w:rsid w:val="00412D33"/>
    <w:rsid w:val="00415505"/>
    <w:rsid w:val="0041587F"/>
    <w:rsid w:val="00416D35"/>
    <w:rsid w:val="00416D7D"/>
    <w:rsid w:val="004178B0"/>
    <w:rsid w:val="00420FD8"/>
    <w:rsid w:val="0042252E"/>
    <w:rsid w:val="00423832"/>
    <w:rsid w:val="00423D1D"/>
    <w:rsid w:val="004240FC"/>
    <w:rsid w:val="00424C0A"/>
    <w:rsid w:val="00425288"/>
    <w:rsid w:val="00427207"/>
    <w:rsid w:val="0042797F"/>
    <w:rsid w:val="004312E6"/>
    <w:rsid w:val="0043292A"/>
    <w:rsid w:val="00432F27"/>
    <w:rsid w:val="0043405B"/>
    <w:rsid w:val="0043538E"/>
    <w:rsid w:val="00437871"/>
    <w:rsid w:val="00440A51"/>
    <w:rsid w:val="004416BD"/>
    <w:rsid w:val="00441BCF"/>
    <w:rsid w:val="00442245"/>
    <w:rsid w:val="00443BA1"/>
    <w:rsid w:val="00444D74"/>
    <w:rsid w:val="004458F6"/>
    <w:rsid w:val="0044624F"/>
    <w:rsid w:val="00447ACC"/>
    <w:rsid w:val="00447DD1"/>
    <w:rsid w:val="00450F4B"/>
    <w:rsid w:val="0045134D"/>
    <w:rsid w:val="004514EC"/>
    <w:rsid w:val="00451A70"/>
    <w:rsid w:val="00451ACB"/>
    <w:rsid w:val="0045381F"/>
    <w:rsid w:val="00453D8E"/>
    <w:rsid w:val="00453FFF"/>
    <w:rsid w:val="0045676F"/>
    <w:rsid w:val="00456B32"/>
    <w:rsid w:val="00460768"/>
    <w:rsid w:val="00462996"/>
    <w:rsid w:val="00463C2C"/>
    <w:rsid w:val="00464658"/>
    <w:rsid w:val="00465B14"/>
    <w:rsid w:val="00466109"/>
    <w:rsid w:val="004669CE"/>
    <w:rsid w:val="00471619"/>
    <w:rsid w:val="004747CD"/>
    <w:rsid w:val="00475B92"/>
    <w:rsid w:val="00475EA2"/>
    <w:rsid w:val="004777D2"/>
    <w:rsid w:val="00477ABE"/>
    <w:rsid w:val="00480263"/>
    <w:rsid w:val="00481370"/>
    <w:rsid w:val="00482F26"/>
    <w:rsid w:val="00484E11"/>
    <w:rsid w:val="004856E2"/>
    <w:rsid w:val="00485D01"/>
    <w:rsid w:val="00486065"/>
    <w:rsid w:val="004860B0"/>
    <w:rsid w:val="00486F45"/>
    <w:rsid w:val="00487371"/>
    <w:rsid w:val="00490A19"/>
    <w:rsid w:val="004918B4"/>
    <w:rsid w:val="00494668"/>
    <w:rsid w:val="004955C5"/>
    <w:rsid w:val="00495A3E"/>
    <w:rsid w:val="004977FB"/>
    <w:rsid w:val="004A09B7"/>
    <w:rsid w:val="004A0FC0"/>
    <w:rsid w:val="004A1482"/>
    <w:rsid w:val="004A1490"/>
    <w:rsid w:val="004A1535"/>
    <w:rsid w:val="004A1779"/>
    <w:rsid w:val="004A26FF"/>
    <w:rsid w:val="004A3DD7"/>
    <w:rsid w:val="004A4ECB"/>
    <w:rsid w:val="004A5598"/>
    <w:rsid w:val="004A5C4A"/>
    <w:rsid w:val="004B24F5"/>
    <w:rsid w:val="004B45F2"/>
    <w:rsid w:val="004B5609"/>
    <w:rsid w:val="004B59EF"/>
    <w:rsid w:val="004B6229"/>
    <w:rsid w:val="004B653B"/>
    <w:rsid w:val="004C0BAA"/>
    <w:rsid w:val="004C0C5D"/>
    <w:rsid w:val="004C155E"/>
    <w:rsid w:val="004C1BDB"/>
    <w:rsid w:val="004C21FF"/>
    <w:rsid w:val="004C73B2"/>
    <w:rsid w:val="004D1134"/>
    <w:rsid w:val="004D15C4"/>
    <w:rsid w:val="004D38EB"/>
    <w:rsid w:val="004D3B32"/>
    <w:rsid w:val="004D4BAD"/>
    <w:rsid w:val="004D4CDD"/>
    <w:rsid w:val="004D5DDF"/>
    <w:rsid w:val="004D78C0"/>
    <w:rsid w:val="004E04EE"/>
    <w:rsid w:val="004E05DF"/>
    <w:rsid w:val="004E47BC"/>
    <w:rsid w:val="004E4C86"/>
    <w:rsid w:val="004E5209"/>
    <w:rsid w:val="004E55D6"/>
    <w:rsid w:val="004E64EF"/>
    <w:rsid w:val="004F5A8D"/>
    <w:rsid w:val="004F623D"/>
    <w:rsid w:val="004F68C4"/>
    <w:rsid w:val="00500A47"/>
    <w:rsid w:val="005023CB"/>
    <w:rsid w:val="00503027"/>
    <w:rsid w:val="00503F39"/>
    <w:rsid w:val="00504F1B"/>
    <w:rsid w:val="005051BC"/>
    <w:rsid w:val="00511A4C"/>
    <w:rsid w:val="00512429"/>
    <w:rsid w:val="00516CC9"/>
    <w:rsid w:val="00520911"/>
    <w:rsid w:val="00523422"/>
    <w:rsid w:val="00525143"/>
    <w:rsid w:val="005262E7"/>
    <w:rsid w:val="00526452"/>
    <w:rsid w:val="00526A36"/>
    <w:rsid w:val="00526F69"/>
    <w:rsid w:val="00527EE3"/>
    <w:rsid w:val="00530984"/>
    <w:rsid w:val="00531559"/>
    <w:rsid w:val="00532357"/>
    <w:rsid w:val="00532E2F"/>
    <w:rsid w:val="005330A1"/>
    <w:rsid w:val="00533E55"/>
    <w:rsid w:val="00534925"/>
    <w:rsid w:val="00535531"/>
    <w:rsid w:val="005377C6"/>
    <w:rsid w:val="00537883"/>
    <w:rsid w:val="00540B1D"/>
    <w:rsid w:val="005413D3"/>
    <w:rsid w:val="00541D02"/>
    <w:rsid w:val="005421A6"/>
    <w:rsid w:val="00542FA9"/>
    <w:rsid w:val="0054491B"/>
    <w:rsid w:val="005473FC"/>
    <w:rsid w:val="0054745F"/>
    <w:rsid w:val="00547B23"/>
    <w:rsid w:val="00547F64"/>
    <w:rsid w:val="00550CC9"/>
    <w:rsid w:val="00550F1C"/>
    <w:rsid w:val="0055361E"/>
    <w:rsid w:val="005541A5"/>
    <w:rsid w:val="005547D8"/>
    <w:rsid w:val="00556FDA"/>
    <w:rsid w:val="0055769E"/>
    <w:rsid w:val="00557E16"/>
    <w:rsid w:val="005603C5"/>
    <w:rsid w:val="0056050C"/>
    <w:rsid w:val="0056098D"/>
    <w:rsid w:val="00561A27"/>
    <w:rsid w:val="00562E9D"/>
    <w:rsid w:val="0056332B"/>
    <w:rsid w:val="00563C31"/>
    <w:rsid w:val="00564A38"/>
    <w:rsid w:val="00564CA8"/>
    <w:rsid w:val="00565D02"/>
    <w:rsid w:val="00567B46"/>
    <w:rsid w:val="005705FA"/>
    <w:rsid w:val="00570B1D"/>
    <w:rsid w:val="00571EEB"/>
    <w:rsid w:val="0057203E"/>
    <w:rsid w:val="00572E21"/>
    <w:rsid w:val="0057325C"/>
    <w:rsid w:val="005739F0"/>
    <w:rsid w:val="0057462C"/>
    <w:rsid w:val="00574712"/>
    <w:rsid w:val="00574C73"/>
    <w:rsid w:val="005757C0"/>
    <w:rsid w:val="00575937"/>
    <w:rsid w:val="00575BF7"/>
    <w:rsid w:val="00580C77"/>
    <w:rsid w:val="00581726"/>
    <w:rsid w:val="00583234"/>
    <w:rsid w:val="005837B9"/>
    <w:rsid w:val="005844A0"/>
    <w:rsid w:val="0058511F"/>
    <w:rsid w:val="00586046"/>
    <w:rsid w:val="005906AD"/>
    <w:rsid w:val="00591F90"/>
    <w:rsid w:val="00592203"/>
    <w:rsid w:val="00592B8E"/>
    <w:rsid w:val="00592C91"/>
    <w:rsid w:val="00592E8C"/>
    <w:rsid w:val="00593E8C"/>
    <w:rsid w:val="00594009"/>
    <w:rsid w:val="00594F2D"/>
    <w:rsid w:val="005A0040"/>
    <w:rsid w:val="005A029C"/>
    <w:rsid w:val="005A0978"/>
    <w:rsid w:val="005A09CC"/>
    <w:rsid w:val="005A0C3C"/>
    <w:rsid w:val="005A1CD1"/>
    <w:rsid w:val="005A2060"/>
    <w:rsid w:val="005A6EBB"/>
    <w:rsid w:val="005B09A7"/>
    <w:rsid w:val="005B1455"/>
    <w:rsid w:val="005B2713"/>
    <w:rsid w:val="005B5A39"/>
    <w:rsid w:val="005C032D"/>
    <w:rsid w:val="005C16B8"/>
    <w:rsid w:val="005C3F17"/>
    <w:rsid w:val="005C4197"/>
    <w:rsid w:val="005C5698"/>
    <w:rsid w:val="005C5C92"/>
    <w:rsid w:val="005C6160"/>
    <w:rsid w:val="005D0210"/>
    <w:rsid w:val="005D02D4"/>
    <w:rsid w:val="005D0B7A"/>
    <w:rsid w:val="005D0FA3"/>
    <w:rsid w:val="005D1560"/>
    <w:rsid w:val="005D165F"/>
    <w:rsid w:val="005D1CD8"/>
    <w:rsid w:val="005D20A4"/>
    <w:rsid w:val="005D3726"/>
    <w:rsid w:val="005D3CF1"/>
    <w:rsid w:val="005D7ECF"/>
    <w:rsid w:val="005E10FC"/>
    <w:rsid w:val="005E1774"/>
    <w:rsid w:val="005E33DE"/>
    <w:rsid w:val="005E3CA8"/>
    <w:rsid w:val="005E40BE"/>
    <w:rsid w:val="005E4CCF"/>
    <w:rsid w:val="005E5C3D"/>
    <w:rsid w:val="005F2168"/>
    <w:rsid w:val="005F3300"/>
    <w:rsid w:val="005F388C"/>
    <w:rsid w:val="005F4698"/>
    <w:rsid w:val="005F59D6"/>
    <w:rsid w:val="005F5A5B"/>
    <w:rsid w:val="005F746A"/>
    <w:rsid w:val="006006B5"/>
    <w:rsid w:val="006036B8"/>
    <w:rsid w:val="006045AD"/>
    <w:rsid w:val="006045C3"/>
    <w:rsid w:val="00605CA6"/>
    <w:rsid w:val="00607ED4"/>
    <w:rsid w:val="006124D3"/>
    <w:rsid w:val="00612629"/>
    <w:rsid w:val="0061267B"/>
    <w:rsid w:val="006133E5"/>
    <w:rsid w:val="006142D5"/>
    <w:rsid w:val="00614A92"/>
    <w:rsid w:val="00615555"/>
    <w:rsid w:val="00617BAD"/>
    <w:rsid w:val="006212F7"/>
    <w:rsid w:val="00621909"/>
    <w:rsid w:val="0062223D"/>
    <w:rsid w:val="006223D7"/>
    <w:rsid w:val="00622660"/>
    <w:rsid w:val="00623297"/>
    <w:rsid w:val="006246DA"/>
    <w:rsid w:val="006279B1"/>
    <w:rsid w:val="00627CFF"/>
    <w:rsid w:val="00631106"/>
    <w:rsid w:val="0063228D"/>
    <w:rsid w:val="00632640"/>
    <w:rsid w:val="0063271E"/>
    <w:rsid w:val="00635530"/>
    <w:rsid w:val="0064099E"/>
    <w:rsid w:val="00640F64"/>
    <w:rsid w:val="0064119E"/>
    <w:rsid w:val="00641CF9"/>
    <w:rsid w:val="00642B04"/>
    <w:rsid w:val="00644019"/>
    <w:rsid w:val="006464B6"/>
    <w:rsid w:val="006465DE"/>
    <w:rsid w:val="00650F72"/>
    <w:rsid w:val="00651F3E"/>
    <w:rsid w:val="006543FE"/>
    <w:rsid w:val="006549EE"/>
    <w:rsid w:val="00655AD3"/>
    <w:rsid w:val="006574CA"/>
    <w:rsid w:val="00657E31"/>
    <w:rsid w:val="0066359F"/>
    <w:rsid w:val="006640BC"/>
    <w:rsid w:val="006640FB"/>
    <w:rsid w:val="00666F6A"/>
    <w:rsid w:val="00670ED2"/>
    <w:rsid w:val="006720B5"/>
    <w:rsid w:val="006729FD"/>
    <w:rsid w:val="00673291"/>
    <w:rsid w:val="00674252"/>
    <w:rsid w:val="00675C2B"/>
    <w:rsid w:val="00677F04"/>
    <w:rsid w:val="0068076D"/>
    <w:rsid w:val="00680945"/>
    <w:rsid w:val="00681517"/>
    <w:rsid w:val="00682A27"/>
    <w:rsid w:val="006852D6"/>
    <w:rsid w:val="00690371"/>
    <w:rsid w:val="00692CB7"/>
    <w:rsid w:val="00696BEB"/>
    <w:rsid w:val="00697B6D"/>
    <w:rsid w:val="006A0298"/>
    <w:rsid w:val="006A07B4"/>
    <w:rsid w:val="006A2BDC"/>
    <w:rsid w:val="006A6388"/>
    <w:rsid w:val="006A7300"/>
    <w:rsid w:val="006B02C9"/>
    <w:rsid w:val="006B2512"/>
    <w:rsid w:val="006B30BC"/>
    <w:rsid w:val="006B3E1F"/>
    <w:rsid w:val="006B5182"/>
    <w:rsid w:val="006B642B"/>
    <w:rsid w:val="006B6C82"/>
    <w:rsid w:val="006C1585"/>
    <w:rsid w:val="006C3141"/>
    <w:rsid w:val="006C4D89"/>
    <w:rsid w:val="006C55E2"/>
    <w:rsid w:val="006C763C"/>
    <w:rsid w:val="006D062E"/>
    <w:rsid w:val="006D206F"/>
    <w:rsid w:val="006D37B4"/>
    <w:rsid w:val="006D4A29"/>
    <w:rsid w:val="006E052D"/>
    <w:rsid w:val="006E0F99"/>
    <w:rsid w:val="006E152B"/>
    <w:rsid w:val="006E1B08"/>
    <w:rsid w:val="006E1F4E"/>
    <w:rsid w:val="006E3283"/>
    <w:rsid w:val="006E4F41"/>
    <w:rsid w:val="006E62FF"/>
    <w:rsid w:val="006F0BE6"/>
    <w:rsid w:val="006F1D0D"/>
    <w:rsid w:val="006F29A8"/>
    <w:rsid w:val="006F3AB9"/>
    <w:rsid w:val="006F5078"/>
    <w:rsid w:val="006F5ECA"/>
    <w:rsid w:val="00700747"/>
    <w:rsid w:val="00700C45"/>
    <w:rsid w:val="0070147E"/>
    <w:rsid w:val="0070176E"/>
    <w:rsid w:val="007017F6"/>
    <w:rsid w:val="00701AF6"/>
    <w:rsid w:val="007040F9"/>
    <w:rsid w:val="007051D0"/>
    <w:rsid w:val="00705571"/>
    <w:rsid w:val="00710B27"/>
    <w:rsid w:val="00710B9D"/>
    <w:rsid w:val="00712AA5"/>
    <w:rsid w:val="00712E33"/>
    <w:rsid w:val="00715749"/>
    <w:rsid w:val="00717732"/>
    <w:rsid w:val="00717E69"/>
    <w:rsid w:val="00720F8A"/>
    <w:rsid w:val="007232C2"/>
    <w:rsid w:val="0072529B"/>
    <w:rsid w:val="00725708"/>
    <w:rsid w:val="007268B8"/>
    <w:rsid w:val="00726C13"/>
    <w:rsid w:val="00727B0E"/>
    <w:rsid w:val="00727F6F"/>
    <w:rsid w:val="00730DE6"/>
    <w:rsid w:val="00730DFB"/>
    <w:rsid w:val="00731614"/>
    <w:rsid w:val="007343C1"/>
    <w:rsid w:val="007351A3"/>
    <w:rsid w:val="00741319"/>
    <w:rsid w:val="007415F8"/>
    <w:rsid w:val="007462C5"/>
    <w:rsid w:val="007473BF"/>
    <w:rsid w:val="0075143E"/>
    <w:rsid w:val="00751C27"/>
    <w:rsid w:val="0075326F"/>
    <w:rsid w:val="00753442"/>
    <w:rsid w:val="007540AE"/>
    <w:rsid w:val="00754C74"/>
    <w:rsid w:val="0075563E"/>
    <w:rsid w:val="00756622"/>
    <w:rsid w:val="0075799D"/>
    <w:rsid w:val="00760DCA"/>
    <w:rsid w:val="00761FC2"/>
    <w:rsid w:val="0076294A"/>
    <w:rsid w:val="0076600C"/>
    <w:rsid w:val="0076771A"/>
    <w:rsid w:val="00771EF1"/>
    <w:rsid w:val="00772775"/>
    <w:rsid w:val="00772C91"/>
    <w:rsid w:val="007746FF"/>
    <w:rsid w:val="00776AD7"/>
    <w:rsid w:val="007771AA"/>
    <w:rsid w:val="00780F23"/>
    <w:rsid w:val="00782190"/>
    <w:rsid w:val="00787D9D"/>
    <w:rsid w:val="00790D35"/>
    <w:rsid w:val="00790E46"/>
    <w:rsid w:val="0079288B"/>
    <w:rsid w:val="0079421B"/>
    <w:rsid w:val="00797D0E"/>
    <w:rsid w:val="007A07BE"/>
    <w:rsid w:val="007A21D2"/>
    <w:rsid w:val="007A26D3"/>
    <w:rsid w:val="007A290D"/>
    <w:rsid w:val="007A4ABC"/>
    <w:rsid w:val="007B08DD"/>
    <w:rsid w:val="007B1804"/>
    <w:rsid w:val="007B1EE3"/>
    <w:rsid w:val="007B3F78"/>
    <w:rsid w:val="007B4DA6"/>
    <w:rsid w:val="007B67D4"/>
    <w:rsid w:val="007B761E"/>
    <w:rsid w:val="007B7E04"/>
    <w:rsid w:val="007B7EBB"/>
    <w:rsid w:val="007C0B2C"/>
    <w:rsid w:val="007C0DA2"/>
    <w:rsid w:val="007C1168"/>
    <w:rsid w:val="007C22A6"/>
    <w:rsid w:val="007C3C6F"/>
    <w:rsid w:val="007C52B9"/>
    <w:rsid w:val="007C56E0"/>
    <w:rsid w:val="007C69E8"/>
    <w:rsid w:val="007D02E4"/>
    <w:rsid w:val="007D0572"/>
    <w:rsid w:val="007D0A91"/>
    <w:rsid w:val="007D21E8"/>
    <w:rsid w:val="007D3AD7"/>
    <w:rsid w:val="007D63D4"/>
    <w:rsid w:val="007D7545"/>
    <w:rsid w:val="007D7910"/>
    <w:rsid w:val="007D7AA1"/>
    <w:rsid w:val="007E07B6"/>
    <w:rsid w:val="007E243C"/>
    <w:rsid w:val="007E2A45"/>
    <w:rsid w:val="007E3130"/>
    <w:rsid w:val="007E44B5"/>
    <w:rsid w:val="007E4ED7"/>
    <w:rsid w:val="007E4F99"/>
    <w:rsid w:val="007E57B4"/>
    <w:rsid w:val="007E5F2A"/>
    <w:rsid w:val="007E5FD8"/>
    <w:rsid w:val="007E7825"/>
    <w:rsid w:val="007E7CB3"/>
    <w:rsid w:val="007F0F01"/>
    <w:rsid w:val="007F18B5"/>
    <w:rsid w:val="007F3381"/>
    <w:rsid w:val="007F4657"/>
    <w:rsid w:val="007F48FE"/>
    <w:rsid w:val="007F4F10"/>
    <w:rsid w:val="007F5D5A"/>
    <w:rsid w:val="0080153B"/>
    <w:rsid w:val="008016B1"/>
    <w:rsid w:val="008120AD"/>
    <w:rsid w:val="0081370C"/>
    <w:rsid w:val="00813B97"/>
    <w:rsid w:val="00813D8F"/>
    <w:rsid w:val="00816D42"/>
    <w:rsid w:val="00820E78"/>
    <w:rsid w:val="0082317B"/>
    <w:rsid w:val="008238A1"/>
    <w:rsid w:val="00824851"/>
    <w:rsid w:val="00825CD0"/>
    <w:rsid w:val="0082726C"/>
    <w:rsid w:val="008310A4"/>
    <w:rsid w:val="008338A3"/>
    <w:rsid w:val="008341D7"/>
    <w:rsid w:val="00834742"/>
    <w:rsid w:val="008359EA"/>
    <w:rsid w:val="00836B7A"/>
    <w:rsid w:val="00836EA8"/>
    <w:rsid w:val="00840457"/>
    <w:rsid w:val="00840E40"/>
    <w:rsid w:val="00841CDD"/>
    <w:rsid w:val="00842B0F"/>
    <w:rsid w:val="0084514E"/>
    <w:rsid w:val="008459A6"/>
    <w:rsid w:val="00846233"/>
    <w:rsid w:val="00847923"/>
    <w:rsid w:val="00851292"/>
    <w:rsid w:val="0085634D"/>
    <w:rsid w:val="0086054E"/>
    <w:rsid w:val="00861A22"/>
    <w:rsid w:val="00861F98"/>
    <w:rsid w:val="00862176"/>
    <w:rsid w:val="00862F76"/>
    <w:rsid w:val="00865431"/>
    <w:rsid w:val="0086654B"/>
    <w:rsid w:val="008700C3"/>
    <w:rsid w:val="008706EF"/>
    <w:rsid w:val="00874080"/>
    <w:rsid w:val="00874BC8"/>
    <w:rsid w:val="008769D5"/>
    <w:rsid w:val="008770E6"/>
    <w:rsid w:val="0088199C"/>
    <w:rsid w:val="00882B4F"/>
    <w:rsid w:val="00882E07"/>
    <w:rsid w:val="0088366B"/>
    <w:rsid w:val="00884FF7"/>
    <w:rsid w:val="00890996"/>
    <w:rsid w:val="008932D8"/>
    <w:rsid w:val="008977D4"/>
    <w:rsid w:val="008A14CB"/>
    <w:rsid w:val="008A16B3"/>
    <w:rsid w:val="008A1AFD"/>
    <w:rsid w:val="008A4179"/>
    <w:rsid w:val="008A5740"/>
    <w:rsid w:val="008B0B3E"/>
    <w:rsid w:val="008B0F4B"/>
    <w:rsid w:val="008B34CF"/>
    <w:rsid w:val="008B4373"/>
    <w:rsid w:val="008B6A4A"/>
    <w:rsid w:val="008C0E08"/>
    <w:rsid w:val="008C1426"/>
    <w:rsid w:val="008C44F5"/>
    <w:rsid w:val="008C4B33"/>
    <w:rsid w:val="008C559A"/>
    <w:rsid w:val="008C6C6F"/>
    <w:rsid w:val="008D105A"/>
    <w:rsid w:val="008D4C1B"/>
    <w:rsid w:val="008D4C38"/>
    <w:rsid w:val="008D4CC8"/>
    <w:rsid w:val="008D6A88"/>
    <w:rsid w:val="008E0221"/>
    <w:rsid w:val="008E0E5E"/>
    <w:rsid w:val="008E1150"/>
    <w:rsid w:val="008E2B79"/>
    <w:rsid w:val="008E2BF2"/>
    <w:rsid w:val="008E59E0"/>
    <w:rsid w:val="008E6BAE"/>
    <w:rsid w:val="008E78B6"/>
    <w:rsid w:val="008F031D"/>
    <w:rsid w:val="008F1BCE"/>
    <w:rsid w:val="008F3366"/>
    <w:rsid w:val="008F49BD"/>
    <w:rsid w:val="008F7393"/>
    <w:rsid w:val="009001C0"/>
    <w:rsid w:val="0090032F"/>
    <w:rsid w:val="00901E8D"/>
    <w:rsid w:val="009045A3"/>
    <w:rsid w:val="00906E36"/>
    <w:rsid w:val="00907B6A"/>
    <w:rsid w:val="009106A9"/>
    <w:rsid w:val="0091075D"/>
    <w:rsid w:val="00912E63"/>
    <w:rsid w:val="00912FCA"/>
    <w:rsid w:val="0091417F"/>
    <w:rsid w:val="0091448A"/>
    <w:rsid w:val="009152F2"/>
    <w:rsid w:val="00917F47"/>
    <w:rsid w:val="00920E48"/>
    <w:rsid w:val="00921B41"/>
    <w:rsid w:val="009221CE"/>
    <w:rsid w:val="0092249A"/>
    <w:rsid w:val="00923392"/>
    <w:rsid w:val="00923828"/>
    <w:rsid w:val="00923FC7"/>
    <w:rsid w:val="00925C74"/>
    <w:rsid w:val="00926E5F"/>
    <w:rsid w:val="00927133"/>
    <w:rsid w:val="00931305"/>
    <w:rsid w:val="00931DF7"/>
    <w:rsid w:val="00932536"/>
    <w:rsid w:val="0093383A"/>
    <w:rsid w:val="0093452B"/>
    <w:rsid w:val="00934A1D"/>
    <w:rsid w:val="009407C2"/>
    <w:rsid w:val="009430EF"/>
    <w:rsid w:val="00945528"/>
    <w:rsid w:val="00946E40"/>
    <w:rsid w:val="00947663"/>
    <w:rsid w:val="009479EF"/>
    <w:rsid w:val="00950F7C"/>
    <w:rsid w:val="009515EA"/>
    <w:rsid w:val="00952565"/>
    <w:rsid w:val="00954FAC"/>
    <w:rsid w:val="0095560C"/>
    <w:rsid w:val="0095590B"/>
    <w:rsid w:val="0095618B"/>
    <w:rsid w:val="00957578"/>
    <w:rsid w:val="0096028B"/>
    <w:rsid w:val="0096041B"/>
    <w:rsid w:val="009617A4"/>
    <w:rsid w:val="009631A9"/>
    <w:rsid w:val="0096387D"/>
    <w:rsid w:val="00963B02"/>
    <w:rsid w:val="00966C66"/>
    <w:rsid w:val="00970454"/>
    <w:rsid w:val="00971290"/>
    <w:rsid w:val="00972062"/>
    <w:rsid w:val="009726B4"/>
    <w:rsid w:val="0097348A"/>
    <w:rsid w:val="00973D50"/>
    <w:rsid w:val="0097619E"/>
    <w:rsid w:val="00980025"/>
    <w:rsid w:val="0098014A"/>
    <w:rsid w:val="0098082B"/>
    <w:rsid w:val="00980999"/>
    <w:rsid w:val="00985855"/>
    <w:rsid w:val="0098665A"/>
    <w:rsid w:val="009867A5"/>
    <w:rsid w:val="009869AB"/>
    <w:rsid w:val="0098734D"/>
    <w:rsid w:val="00990AA6"/>
    <w:rsid w:val="00990C01"/>
    <w:rsid w:val="009931B5"/>
    <w:rsid w:val="009953FC"/>
    <w:rsid w:val="00995B55"/>
    <w:rsid w:val="00995C7F"/>
    <w:rsid w:val="00996E6B"/>
    <w:rsid w:val="009A0CB2"/>
    <w:rsid w:val="009A0E81"/>
    <w:rsid w:val="009A3C72"/>
    <w:rsid w:val="009A4D92"/>
    <w:rsid w:val="009A4FA4"/>
    <w:rsid w:val="009A72C4"/>
    <w:rsid w:val="009A745C"/>
    <w:rsid w:val="009B2843"/>
    <w:rsid w:val="009B2F5E"/>
    <w:rsid w:val="009B36B8"/>
    <w:rsid w:val="009B415A"/>
    <w:rsid w:val="009B467B"/>
    <w:rsid w:val="009B479D"/>
    <w:rsid w:val="009B6783"/>
    <w:rsid w:val="009B7817"/>
    <w:rsid w:val="009B7AB6"/>
    <w:rsid w:val="009B7EBD"/>
    <w:rsid w:val="009C07B9"/>
    <w:rsid w:val="009C10D2"/>
    <w:rsid w:val="009C377C"/>
    <w:rsid w:val="009C3EB8"/>
    <w:rsid w:val="009C5F97"/>
    <w:rsid w:val="009C6EAC"/>
    <w:rsid w:val="009C763F"/>
    <w:rsid w:val="009D0F2C"/>
    <w:rsid w:val="009D337B"/>
    <w:rsid w:val="009D5FF6"/>
    <w:rsid w:val="009D70D5"/>
    <w:rsid w:val="009D7664"/>
    <w:rsid w:val="009D78B9"/>
    <w:rsid w:val="009D794E"/>
    <w:rsid w:val="009E016F"/>
    <w:rsid w:val="009E10A3"/>
    <w:rsid w:val="009E2827"/>
    <w:rsid w:val="009E3003"/>
    <w:rsid w:val="009E49A1"/>
    <w:rsid w:val="009E6D5A"/>
    <w:rsid w:val="009F0441"/>
    <w:rsid w:val="009F1AFC"/>
    <w:rsid w:val="009F1B86"/>
    <w:rsid w:val="009F219E"/>
    <w:rsid w:val="009F3B06"/>
    <w:rsid w:val="009F68F0"/>
    <w:rsid w:val="00A01D76"/>
    <w:rsid w:val="00A023A1"/>
    <w:rsid w:val="00A02E5B"/>
    <w:rsid w:val="00A03D4D"/>
    <w:rsid w:val="00A05D38"/>
    <w:rsid w:val="00A06D4D"/>
    <w:rsid w:val="00A074DE"/>
    <w:rsid w:val="00A0793D"/>
    <w:rsid w:val="00A10907"/>
    <w:rsid w:val="00A11783"/>
    <w:rsid w:val="00A11CC9"/>
    <w:rsid w:val="00A14173"/>
    <w:rsid w:val="00A145EB"/>
    <w:rsid w:val="00A14E63"/>
    <w:rsid w:val="00A166F2"/>
    <w:rsid w:val="00A20F88"/>
    <w:rsid w:val="00A22502"/>
    <w:rsid w:val="00A24338"/>
    <w:rsid w:val="00A32C17"/>
    <w:rsid w:val="00A33A9C"/>
    <w:rsid w:val="00A3648E"/>
    <w:rsid w:val="00A36531"/>
    <w:rsid w:val="00A3731D"/>
    <w:rsid w:val="00A4006B"/>
    <w:rsid w:val="00A400FA"/>
    <w:rsid w:val="00A405CE"/>
    <w:rsid w:val="00A416AD"/>
    <w:rsid w:val="00A4197A"/>
    <w:rsid w:val="00A4212A"/>
    <w:rsid w:val="00A44CFF"/>
    <w:rsid w:val="00A4686E"/>
    <w:rsid w:val="00A47312"/>
    <w:rsid w:val="00A475B1"/>
    <w:rsid w:val="00A47EB8"/>
    <w:rsid w:val="00A50190"/>
    <w:rsid w:val="00A511A6"/>
    <w:rsid w:val="00A52D57"/>
    <w:rsid w:val="00A53C63"/>
    <w:rsid w:val="00A540FB"/>
    <w:rsid w:val="00A54D13"/>
    <w:rsid w:val="00A60FFF"/>
    <w:rsid w:val="00A616C9"/>
    <w:rsid w:val="00A62BD0"/>
    <w:rsid w:val="00A6464E"/>
    <w:rsid w:val="00A648EF"/>
    <w:rsid w:val="00A652DC"/>
    <w:rsid w:val="00A65B9F"/>
    <w:rsid w:val="00A65CD9"/>
    <w:rsid w:val="00A65D0A"/>
    <w:rsid w:val="00A66167"/>
    <w:rsid w:val="00A6704D"/>
    <w:rsid w:val="00A70180"/>
    <w:rsid w:val="00A73C2E"/>
    <w:rsid w:val="00A74C44"/>
    <w:rsid w:val="00A76468"/>
    <w:rsid w:val="00A851A9"/>
    <w:rsid w:val="00A8546C"/>
    <w:rsid w:val="00A8574E"/>
    <w:rsid w:val="00A85B93"/>
    <w:rsid w:val="00A85C93"/>
    <w:rsid w:val="00A917A9"/>
    <w:rsid w:val="00A939BF"/>
    <w:rsid w:val="00A94BA4"/>
    <w:rsid w:val="00A954DE"/>
    <w:rsid w:val="00A975B9"/>
    <w:rsid w:val="00A9797B"/>
    <w:rsid w:val="00A97B3C"/>
    <w:rsid w:val="00AA1C52"/>
    <w:rsid w:val="00AA2212"/>
    <w:rsid w:val="00AA25DE"/>
    <w:rsid w:val="00AA2A8E"/>
    <w:rsid w:val="00AA544E"/>
    <w:rsid w:val="00AA56DB"/>
    <w:rsid w:val="00AA73C8"/>
    <w:rsid w:val="00AB1234"/>
    <w:rsid w:val="00AB163C"/>
    <w:rsid w:val="00AB3BA9"/>
    <w:rsid w:val="00AB49A7"/>
    <w:rsid w:val="00AB4B90"/>
    <w:rsid w:val="00AB4BB4"/>
    <w:rsid w:val="00AB5143"/>
    <w:rsid w:val="00AB5EEA"/>
    <w:rsid w:val="00AB791D"/>
    <w:rsid w:val="00AB7DED"/>
    <w:rsid w:val="00AC3606"/>
    <w:rsid w:val="00AC5CC1"/>
    <w:rsid w:val="00AC6767"/>
    <w:rsid w:val="00AC70CC"/>
    <w:rsid w:val="00AD150C"/>
    <w:rsid w:val="00AD1646"/>
    <w:rsid w:val="00AD396B"/>
    <w:rsid w:val="00AD6807"/>
    <w:rsid w:val="00AD68CE"/>
    <w:rsid w:val="00AD79EF"/>
    <w:rsid w:val="00AE1273"/>
    <w:rsid w:val="00AE156E"/>
    <w:rsid w:val="00AE2207"/>
    <w:rsid w:val="00AE3C44"/>
    <w:rsid w:val="00AE5701"/>
    <w:rsid w:val="00AE5A15"/>
    <w:rsid w:val="00AE5D49"/>
    <w:rsid w:val="00AE6DDA"/>
    <w:rsid w:val="00AE7C84"/>
    <w:rsid w:val="00AF2275"/>
    <w:rsid w:val="00AF2C3D"/>
    <w:rsid w:val="00AF4042"/>
    <w:rsid w:val="00AF4C48"/>
    <w:rsid w:val="00AF7DE9"/>
    <w:rsid w:val="00B01F91"/>
    <w:rsid w:val="00B022CC"/>
    <w:rsid w:val="00B048AE"/>
    <w:rsid w:val="00B06AB3"/>
    <w:rsid w:val="00B10343"/>
    <w:rsid w:val="00B10F22"/>
    <w:rsid w:val="00B1145B"/>
    <w:rsid w:val="00B1237A"/>
    <w:rsid w:val="00B128A8"/>
    <w:rsid w:val="00B12A14"/>
    <w:rsid w:val="00B13833"/>
    <w:rsid w:val="00B162A9"/>
    <w:rsid w:val="00B16E76"/>
    <w:rsid w:val="00B17D46"/>
    <w:rsid w:val="00B20758"/>
    <w:rsid w:val="00B2090B"/>
    <w:rsid w:val="00B21431"/>
    <w:rsid w:val="00B216DB"/>
    <w:rsid w:val="00B21BDF"/>
    <w:rsid w:val="00B22A72"/>
    <w:rsid w:val="00B22D3F"/>
    <w:rsid w:val="00B23301"/>
    <w:rsid w:val="00B23510"/>
    <w:rsid w:val="00B268C1"/>
    <w:rsid w:val="00B27430"/>
    <w:rsid w:val="00B32F9B"/>
    <w:rsid w:val="00B343FE"/>
    <w:rsid w:val="00B403A1"/>
    <w:rsid w:val="00B4166D"/>
    <w:rsid w:val="00B422A4"/>
    <w:rsid w:val="00B423D6"/>
    <w:rsid w:val="00B424A3"/>
    <w:rsid w:val="00B43C6A"/>
    <w:rsid w:val="00B44564"/>
    <w:rsid w:val="00B45586"/>
    <w:rsid w:val="00B45C3A"/>
    <w:rsid w:val="00B46C71"/>
    <w:rsid w:val="00B46F25"/>
    <w:rsid w:val="00B47F18"/>
    <w:rsid w:val="00B50D97"/>
    <w:rsid w:val="00B50E81"/>
    <w:rsid w:val="00B50EBA"/>
    <w:rsid w:val="00B511BC"/>
    <w:rsid w:val="00B51935"/>
    <w:rsid w:val="00B54085"/>
    <w:rsid w:val="00B544A7"/>
    <w:rsid w:val="00B60B42"/>
    <w:rsid w:val="00B60CB8"/>
    <w:rsid w:val="00B62914"/>
    <w:rsid w:val="00B630FB"/>
    <w:rsid w:val="00B64180"/>
    <w:rsid w:val="00B64607"/>
    <w:rsid w:val="00B67EB4"/>
    <w:rsid w:val="00B707E7"/>
    <w:rsid w:val="00B71879"/>
    <w:rsid w:val="00B725BC"/>
    <w:rsid w:val="00B72ABF"/>
    <w:rsid w:val="00B72ACA"/>
    <w:rsid w:val="00B740B4"/>
    <w:rsid w:val="00B747A8"/>
    <w:rsid w:val="00B74FB6"/>
    <w:rsid w:val="00B752E3"/>
    <w:rsid w:val="00B76951"/>
    <w:rsid w:val="00B76E87"/>
    <w:rsid w:val="00B779C7"/>
    <w:rsid w:val="00B81578"/>
    <w:rsid w:val="00B84D2B"/>
    <w:rsid w:val="00B90202"/>
    <w:rsid w:val="00B92A1B"/>
    <w:rsid w:val="00B92F62"/>
    <w:rsid w:val="00B93292"/>
    <w:rsid w:val="00B96908"/>
    <w:rsid w:val="00B96A05"/>
    <w:rsid w:val="00BA02BE"/>
    <w:rsid w:val="00BA04C9"/>
    <w:rsid w:val="00BA107A"/>
    <w:rsid w:val="00BA10B8"/>
    <w:rsid w:val="00BA20BD"/>
    <w:rsid w:val="00BA2F81"/>
    <w:rsid w:val="00BA30E4"/>
    <w:rsid w:val="00BA3DC6"/>
    <w:rsid w:val="00BA40EF"/>
    <w:rsid w:val="00BA60A8"/>
    <w:rsid w:val="00BA69D3"/>
    <w:rsid w:val="00BA6D70"/>
    <w:rsid w:val="00BA7B2B"/>
    <w:rsid w:val="00BB012E"/>
    <w:rsid w:val="00BB05C2"/>
    <w:rsid w:val="00BB4258"/>
    <w:rsid w:val="00BB4362"/>
    <w:rsid w:val="00BB5128"/>
    <w:rsid w:val="00BB5C1F"/>
    <w:rsid w:val="00BB6A21"/>
    <w:rsid w:val="00BC0C79"/>
    <w:rsid w:val="00BC1BF9"/>
    <w:rsid w:val="00BC1EC3"/>
    <w:rsid w:val="00BC5C54"/>
    <w:rsid w:val="00BC61DF"/>
    <w:rsid w:val="00BC69FD"/>
    <w:rsid w:val="00BC6B03"/>
    <w:rsid w:val="00BC6C91"/>
    <w:rsid w:val="00BC78AE"/>
    <w:rsid w:val="00BC7FCA"/>
    <w:rsid w:val="00BD1587"/>
    <w:rsid w:val="00BE04A0"/>
    <w:rsid w:val="00BE07E4"/>
    <w:rsid w:val="00BE1A6A"/>
    <w:rsid w:val="00BE3E20"/>
    <w:rsid w:val="00BE3FC3"/>
    <w:rsid w:val="00BF0738"/>
    <w:rsid w:val="00BF099B"/>
    <w:rsid w:val="00BF45F3"/>
    <w:rsid w:val="00BF4917"/>
    <w:rsid w:val="00BF4C80"/>
    <w:rsid w:val="00C003B5"/>
    <w:rsid w:val="00C01554"/>
    <w:rsid w:val="00C02281"/>
    <w:rsid w:val="00C0389C"/>
    <w:rsid w:val="00C03C74"/>
    <w:rsid w:val="00C041BB"/>
    <w:rsid w:val="00C0571D"/>
    <w:rsid w:val="00C061E3"/>
    <w:rsid w:val="00C065DA"/>
    <w:rsid w:val="00C1094D"/>
    <w:rsid w:val="00C113DE"/>
    <w:rsid w:val="00C13AF9"/>
    <w:rsid w:val="00C152B6"/>
    <w:rsid w:val="00C17C51"/>
    <w:rsid w:val="00C20C13"/>
    <w:rsid w:val="00C21CEC"/>
    <w:rsid w:val="00C22B36"/>
    <w:rsid w:val="00C22E7C"/>
    <w:rsid w:val="00C2582E"/>
    <w:rsid w:val="00C26DAB"/>
    <w:rsid w:val="00C27CD4"/>
    <w:rsid w:val="00C3130D"/>
    <w:rsid w:val="00C3285A"/>
    <w:rsid w:val="00C33AA1"/>
    <w:rsid w:val="00C34A54"/>
    <w:rsid w:val="00C360F8"/>
    <w:rsid w:val="00C362F2"/>
    <w:rsid w:val="00C36522"/>
    <w:rsid w:val="00C36FCC"/>
    <w:rsid w:val="00C414DC"/>
    <w:rsid w:val="00C4155A"/>
    <w:rsid w:val="00C415E2"/>
    <w:rsid w:val="00C42283"/>
    <w:rsid w:val="00C43498"/>
    <w:rsid w:val="00C435A5"/>
    <w:rsid w:val="00C446F2"/>
    <w:rsid w:val="00C456E3"/>
    <w:rsid w:val="00C471F2"/>
    <w:rsid w:val="00C50ABE"/>
    <w:rsid w:val="00C5154F"/>
    <w:rsid w:val="00C51D6A"/>
    <w:rsid w:val="00C52076"/>
    <w:rsid w:val="00C52CB3"/>
    <w:rsid w:val="00C53E64"/>
    <w:rsid w:val="00C541CD"/>
    <w:rsid w:val="00C5457B"/>
    <w:rsid w:val="00C55EC2"/>
    <w:rsid w:val="00C57E54"/>
    <w:rsid w:val="00C60008"/>
    <w:rsid w:val="00C60C34"/>
    <w:rsid w:val="00C627CB"/>
    <w:rsid w:val="00C63D89"/>
    <w:rsid w:val="00C642FB"/>
    <w:rsid w:val="00C65808"/>
    <w:rsid w:val="00C70C2D"/>
    <w:rsid w:val="00C71690"/>
    <w:rsid w:val="00C739D7"/>
    <w:rsid w:val="00C77AC6"/>
    <w:rsid w:val="00C81A62"/>
    <w:rsid w:val="00C82F62"/>
    <w:rsid w:val="00C83D49"/>
    <w:rsid w:val="00C8547A"/>
    <w:rsid w:val="00C855AC"/>
    <w:rsid w:val="00C85BF0"/>
    <w:rsid w:val="00C86EC3"/>
    <w:rsid w:val="00C87051"/>
    <w:rsid w:val="00C91838"/>
    <w:rsid w:val="00CA1256"/>
    <w:rsid w:val="00CA1300"/>
    <w:rsid w:val="00CA17D5"/>
    <w:rsid w:val="00CA3305"/>
    <w:rsid w:val="00CA5F22"/>
    <w:rsid w:val="00CA6E7B"/>
    <w:rsid w:val="00CA7486"/>
    <w:rsid w:val="00CB52D4"/>
    <w:rsid w:val="00CB5E3E"/>
    <w:rsid w:val="00CB5FA9"/>
    <w:rsid w:val="00CC0510"/>
    <w:rsid w:val="00CC14AA"/>
    <w:rsid w:val="00CC2507"/>
    <w:rsid w:val="00CC2E60"/>
    <w:rsid w:val="00CC35B4"/>
    <w:rsid w:val="00CC567F"/>
    <w:rsid w:val="00CC5A84"/>
    <w:rsid w:val="00CD21FA"/>
    <w:rsid w:val="00CD2D65"/>
    <w:rsid w:val="00CD3327"/>
    <w:rsid w:val="00CD3CB9"/>
    <w:rsid w:val="00CD5152"/>
    <w:rsid w:val="00CD6949"/>
    <w:rsid w:val="00CD6F28"/>
    <w:rsid w:val="00CE00C6"/>
    <w:rsid w:val="00CE014A"/>
    <w:rsid w:val="00CE04F0"/>
    <w:rsid w:val="00CE41D7"/>
    <w:rsid w:val="00CE66F1"/>
    <w:rsid w:val="00CE77E8"/>
    <w:rsid w:val="00CE7962"/>
    <w:rsid w:val="00CF0F7B"/>
    <w:rsid w:val="00CF15AA"/>
    <w:rsid w:val="00CF1C1A"/>
    <w:rsid w:val="00CF1E50"/>
    <w:rsid w:val="00CF2DAF"/>
    <w:rsid w:val="00CF38FB"/>
    <w:rsid w:val="00CF42B7"/>
    <w:rsid w:val="00CF676E"/>
    <w:rsid w:val="00D0067B"/>
    <w:rsid w:val="00D00D4F"/>
    <w:rsid w:val="00D034D5"/>
    <w:rsid w:val="00D058D5"/>
    <w:rsid w:val="00D0787D"/>
    <w:rsid w:val="00D07A85"/>
    <w:rsid w:val="00D1027B"/>
    <w:rsid w:val="00D1043E"/>
    <w:rsid w:val="00D10D13"/>
    <w:rsid w:val="00D10F7F"/>
    <w:rsid w:val="00D11627"/>
    <w:rsid w:val="00D11DC3"/>
    <w:rsid w:val="00D131F3"/>
    <w:rsid w:val="00D1340A"/>
    <w:rsid w:val="00D143A3"/>
    <w:rsid w:val="00D1515F"/>
    <w:rsid w:val="00D15333"/>
    <w:rsid w:val="00D15DB2"/>
    <w:rsid w:val="00D17FFC"/>
    <w:rsid w:val="00D20687"/>
    <w:rsid w:val="00D20B55"/>
    <w:rsid w:val="00D218DB"/>
    <w:rsid w:val="00D21BBB"/>
    <w:rsid w:val="00D2235D"/>
    <w:rsid w:val="00D2273F"/>
    <w:rsid w:val="00D23711"/>
    <w:rsid w:val="00D2558A"/>
    <w:rsid w:val="00D27DE2"/>
    <w:rsid w:val="00D32623"/>
    <w:rsid w:val="00D35ACC"/>
    <w:rsid w:val="00D36BB0"/>
    <w:rsid w:val="00D3780B"/>
    <w:rsid w:val="00D37E7A"/>
    <w:rsid w:val="00D41DC7"/>
    <w:rsid w:val="00D423F4"/>
    <w:rsid w:val="00D425DE"/>
    <w:rsid w:val="00D43B63"/>
    <w:rsid w:val="00D44067"/>
    <w:rsid w:val="00D44F67"/>
    <w:rsid w:val="00D46884"/>
    <w:rsid w:val="00D47D6A"/>
    <w:rsid w:val="00D532D2"/>
    <w:rsid w:val="00D53B78"/>
    <w:rsid w:val="00D54882"/>
    <w:rsid w:val="00D60C6A"/>
    <w:rsid w:val="00D61A1F"/>
    <w:rsid w:val="00D624BD"/>
    <w:rsid w:val="00D6349E"/>
    <w:rsid w:val="00D65825"/>
    <w:rsid w:val="00D65BD3"/>
    <w:rsid w:val="00D65C55"/>
    <w:rsid w:val="00D65EA2"/>
    <w:rsid w:val="00D664BA"/>
    <w:rsid w:val="00D7018D"/>
    <w:rsid w:val="00D70EA3"/>
    <w:rsid w:val="00D71346"/>
    <w:rsid w:val="00D73F38"/>
    <w:rsid w:val="00D81950"/>
    <w:rsid w:val="00D85995"/>
    <w:rsid w:val="00D875B1"/>
    <w:rsid w:val="00D90052"/>
    <w:rsid w:val="00D918FC"/>
    <w:rsid w:val="00D91ABE"/>
    <w:rsid w:val="00D93430"/>
    <w:rsid w:val="00D9524B"/>
    <w:rsid w:val="00D9590C"/>
    <w:rsid w:val="00D96584"/>
    <w:rsid w:val="00DA13CF"/>
    <w:rsid w:val="00DA431F"/>
    <w:rsid w:val="00DA6DEF"/>
    <w:rsid w:val="00DB244D"/>
    <w:rsid w:val="00DB3AC1"/>
    <w:rsid w:val="00DB5DF3"/>
    <w:rsid w:val="00DC0558"/>
    <w:rsid w:val="00DC1945"/>
    <w:rsid w:val="00DC2359"/>
    <w:rsid w:val="00DC3AAD"/>
    <w:rsid w:val="00DC3CBA"/>
    <w:rsid w:val="00DC5C41"/>
    <w:rsid w:val="00DC5D10"/>
    <w:rsid w:val="00DD101D"/>
    <w:rsid w:val="00DD1759"/>
    <w:rsid w:val="00DD1C54"/>
    <w:rsid w:val="00DD2EEA"/>
    <w:rsid w:val="00DD564E"/>
    <w:rsid w:val="00DD66AB"/>
    <w:rsid w:val="00DD6BD3"/>
    <w:rsid w:val="00DE174B"/>
    <w:rsid w:val="00DE52AD"/>
    <w:rsid w:val="00DF11D4"/>
    <w:rsid w:val="00DF1EF9"/>
    <w:rsid w:val="00DF33BE"/>
    <w:rsid w:val="00DF38A2"/>
    <w:rsid w:val="00DF39AE"/>
    <w:rsid w:val="00DF4927"/>
    <w:rsid w:val="00DF661F"/>
    <w:rsid w:val="00DF6B15"/>
    <w:rsid w:val="00DF6E18"/>
    <w:rsid w:val="00E00919"/>
    <w:rsid w:val="00E00E3C"/>
    <w:rsid w:val="00E039A0"/>
    <w:rsid w:val="00E042DB"/>
    <w:rsid w:val="00E04730"/>
    <w:rsid w:val="00E05BAB"/>
    <w:rsid w:val="00E061EF"/>
    <w:rsid w:val="00E07422"/>
    <w:rsid w:val="00E07A25"/>
    <w:rsid w:val="00E07A61"/>
    <w:rsid w:val="00E11C46"/>
    <w:rsid w:val="00E11D45"/>
    <w:rsid w:val="00E11D50"/>
    <w:rsid w:val="00E12798"/>
    <w:rsid w:val="00E13E54"/>
    <w:rsid w:val="00E13F43"/>
    <w:rsid w:val="00E14141"/>
    <w:rsid w:val="00E15650"/>
    <w:rsid w:val="00E16FC3"/>
    <w:rsid w:val="00E17D1A"/>
    <w:rsid w:val="00E21199"/>
    <w:rsid w:val="00E21A7B"/>
    <w:rsid w:val="00E24969"/>
    <w:rsid w:val="00E276A5"/>
    <w:rsid w:val="00E3042C"/>
    <w:rsid w:val="00E31185"/>
    <w:rsid w:val="00E312A9"/>
    <w:rsid w:val="00E32930"/>
    <w:rsid w:val="00E32E16"/>
    <w:rsid w:val="00E3370E"/>
    <w:rsid w:val="00E34B81"/>
    <w:rsid w:val="00E3590F"/>
    <w:rsid w:val="00E363A1"/>
    <w:rsid w:val="00E3668B"/>
    <w:rsid w:val="00E37EF2"/>
    <w:rsid w:val="00E40319"/>
    <w:rsid w:val="00E413D7"/>
    <w:rsid w:val="00E42239"/>
    <w:rsid w:val="00E4238D"/>
    <w:rsid w:val="00E435D3"/>
    <w:rsid w:val="00E44A00"/>
    <w:rsid w:val="00E45BBE"/>
    <w:rsid w:val="00E46ACF"/>
    <w:rsid w:val="00E47B69"/>
    <w:rsid w:val="00E50B51"/>
    <w:rsid w:val="00E50F9E"/>
    <w:rsid w:val="00E51FB7"/>
    <w:rsid w:val="00E57662"/>
    <w:rsid w:val="00E60426"/>
    <w:rsid w:val="00E6078E"/>
    <w:rsid w:val="00E61010"/>
    <w:rsid w:val="00E61485"/>
    <w:rsid w:val="00E635BC"/>
    <w:rsid w:val="00E63C83"/>
    <w:rsid w:val="00E63C92"/>
    <w:rsid w:val="00E667A3"/>
    <w:rsid w:val="00E71CCB"/>
    <w:rsid w:val="00E7386D"/>
    <w:rsid w:val="00E761A9"/>
    <w:rsid w:val="00E7725A"/>
    <w:rsid w:val="00E77E2C"/>
    <w:rsid w:val="00E8005E"/>
    <w:rsid w:val="00E809EE"/>
    <w:rsid w:val="00E832F5"/>
    <w:rsid w:val="00E83808"/>
    <w:rsid w:val="00E85F87"/>
    <w:rsid w:val="00E86FDF"/>
    <w:rsid w:val="00E87F0A"/>
    <w:rsid w:val="00E9070D"/>
    <w:rsid w:val="00E90EA9"/>
    <w:rsid w:val="00E91E5A"/>
    <w:rsid w:val="00E933C5"/>
    <w:rsid w:val="00E93653"/>
    <w:rsid w:val="00E94178"/>
    <w:rsid w:val="00E94F9D"/>
    <w:rsid w:val="00E9571C"/>
    <w:rsid w:val="00E97068"/>
    <w:rsid w:val="00E97388"/>
    <w:rsid w:val="00EA0926"/>
    <w:rsid w:val="00EA1287"/>
    <w:rsid w:val="00EA1672"/>
    <w:rsid w:val="00EA457A"/>
    <w:rsid w:val="00EA4762"/>
    <w:rsid w:val="00EA5221"/>
    <w:rsid w:val="00EA59FF"/>
    <w:rsid w:val="00EA6734"/>
    <w:rsid w:val="00EA673A"/>
    <w:rsid w:val="00EB001C"/>
    <w:rsid w:val="00EB0359"/>
    <w:rsid w:val="00EB0FA1"/>
    <w:rsid w:val="00EB2098"/>
    <w:rsid w:val="00EB4B40"/>
    <w:rsid w:val="00EB5C71"/>
    <w:rsid w:val="00EB7F39"/>
    <w:rsid w:val="00EC0913"/>
    <w:rsid w:val="00EC5E39"/>
    <w:rsid w:val="00EC6BCA"/>
    <w:rsid w:val="00EC71BE"/>
    <w:rsid w:val="00ED2E7A"/>
    <w:rsid w:val="00ED2F69"/>
    <w:rsid w:val="00ED4647"/>
    <w:rsid w:val="00ED470A"/>
    <w:rsid w:val="00ED56CE"/>
    <w:rsid w:val="00EE0CEB"/>
    <w:rsid w:val="00EE103C"/>
    <w:rsid w:val="00EE159D"/>
    <w:rsid w:val="00EE2B8D"/>
    <w:rsid w:val="00EE39FA"/>
    <w:rsid w:val="00EE4099"/>
    <w:rsid w:val="00EE6A29"/>
    <w:rsid w:val="00EE6B8E"/>
    <w:rsid w:val="00EE704F"/>
    <w:rsid w:val="00EF3953"/>
    <w:rsid w:val="00EF5ACC"/>
    <w:rsid w:val="00EF6B67"/>
    <w:rsid w:val="00F00460"/>
    <w:rsid w:val="00F00B3E"/>
    <w:rsid w:val="00F00C33"/>
    <w:rsid w:val="00F00DAE"/>
    <w:rsid w:val="00F01959"/>
    <w:rsid w:val="00F01EC9"/>
    <w:rsid w:val="00F0475A"/>
    <w:rsid w:val="00F048FA"/>
    <w:rsid w:val="00F06B06"/>
    <w:rsid w:val="00F10AAC"/>
    <w:rsid w:val="00F10E51"/>
    <w:rsid w:val="00F10FA2"/>
    <w:rsid w:val="00F113C7"/>
    <w:rsid w:val="00F130A8"/>
    <w:rsid w:val="00F16065"/>
    <w:rsid w:val="00F20BB3"/>
    <w:rsid w:val="00F210F8"/>
    <w:rsid w:val="00F23534"/>
    <w:rsid w:val="00F24457"/>
    <w:rsid w:val="00F3112D"/>
    <w:rsid w:val="00F31E6A"/>
    <w:rsid w:val="00F33847"/>
    <w:rsid w:val="00F33AD4"/>
    <w:rsid w:val="00F33D3C"/>
    <w:rsid w:val="00F346F5"/>
    <w:rsid w:val="00F35251"/>
    <w:rsid w:val="00F358D2"/>
    <w:rsid w:val="00F37049"/>
    <w:rsid w:val="00F372C8"/>
    <w:rsid w:val="00F37A9D"/>
    <w:rsid w:val="00F37FC4"/>
    <w:rsid w:val="00F41F78"/>
    <w:rsid w:val="00F46992"/>
    <w:rsid w:val="00F47F51"/>
    <w:rsid w:val="00F50A1F"/>
    <w:rsid w:val="00F51FF8"/>
    <w:rsid w:val="00F53324"/>
    <w:rsid w:val="00F54572"/>
    <w:rsid w:val="00F55851"/>
    <w:rsid w:val="00F56771"/>
    <w:rsid w:val="00F60BAC"/>
    <w:rsid w:val="00F60EF0"/>
    <w:rsid w:val="00F62277"/>
    <w:rsid w:val="00F62D0E"/>
    <w:rsid w:val="00F64574"/>
    <w:rsid w:val="00F66076"/>
    <w:rsid w:val="00F67A00"/>
    <w:rsid w:val="00F67C01"/>
    <w:rsid w:val="00F703AA"/>
    <w:rsid w:val="00F71499"/>
    <w:rsid w:val="00F75682"/>
    <w:rsid w:val="00F75DC8"/>
    <w:rsid w:val="00F82B02"/>
    <w:rsid w:val="00F83C6D"/>
    <w:rsid w:val="00F844E8"/>
    <w:rsid w:val="00F8558C"/>
    <w:rsid w:val="00F86C64"/>
    <w:rsid w:val="00F90550"/>
    <w:rsid w:val="00F90731"/>
    <w:rsid w:val="00F916A7"/>
    <w:rsid w:val="00F92ABC"/>
    <w:rsid w:val="00F960F1"/>
    <w:rsid w:val="00FA02D5"/>
    <w:rsid w:val="00FA13DD"/>
    <w:rsid w:val="00FA1CC5"/>
    <w:rsid w:val="00FA1CEB"/>
    <w:rsid w:val="00FA1ECE"/>
    <w:rsid w:val="00FA334D"/>
    <w:rsid w:val="00FA37DE"/>
    <w:rsid w:val="00FA4781"/>
    <w:rsid w:val="00FA4F57"/>
    <w:rsid w:val="00FA56E3"/>
    <w:rsid w:val="00FB1F74"/>
    <w:rsid w:val="00FB2B41"/>
    <w:rsid w:val="00FB5D1F"/>
    <w:rsid w:val="00FB762E"/>
    <w:rsid w:val="00FB7C25"/>
    <w:rsid w:val="00FC034B"/>
    <w:rsid w:val="00FC036D"/>
    <w:rsid w:val="00FC1223"/>
    <w:rsid w:val="00FC2530"/>
    <w:rsid w:val="00FC3F85"/>
    <w:rsid w:val="00FC7069"/>
    <w:rsid w:val="00FD476F"/>
    <w:rsid w:val="00FD59C9"/>
    <w:rsid w:val="00FD5ACB"/>
    <w:rsid w:val="00FE0B97"/>
    <w:rsid w:val="00FE0BA0"/>
    <w:rsid w:val="00FE18C3"/>
    <w:rsid w:val="00FE2006"/>
    <w:rsid w:val="00FE5140"/>
    <w:rsid w:val="00FE5BB4"/>
    <w:rsid w:val="00FE7478"/>
    <w:rsid w:val="00FF5BB2"/>
    <w:rsid w:val="00FF7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EAEC8"/>
  <w15:chartTrackingRefBased/>
  <w15:docId w15:val="{1C75C6C2-2ECD-482D-BE9E-00B2EA86F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7CD"/>
    <w:pPr>
      <w:spacing w:after="0" w:line="240" w:lineRule="auto"/>
      <w:jc w:val="both"/>
    </w:pPr>
    <w:rPr>
      <w:rFonts w:ascii="Franklin Gothic Book" w:hAnsi="Franklin Gothic Book"/>
      <w:sz w:val="20"/>
    </w:rPr>
  </w:style>
  <w:style w:type="paragraph" w:styleId="Heading1">
    <w:name w:val="heading 1"/>
    <w:basedOn w:val="Normal"/>
    <w:next w:val="Normal"/>
    <w:link w:val="Heading1Char"/>
    <w:autoRedefine/>
    <w:uiPriority w:val="9"/>
    <w:qFormat/>
    <w:rsid w:val="004747CD"/>
    <w:pPr>
      <w:keepNext/>
      <w:keepLines/>
      <w:pBdr>
        <w:top w:val="single" w:sz="4" w:space="1" w:color="FF9900"/>
        <w:left w:val="single" w:sz="4" w:space="4" w:color="FF9900"/>
      </w:pBdr>
      <w:outlineLvl w:val="0"/>
    </w:pPr>
    <w:rPr>
      <w:rFonts w:eastAsiaTheme="majorEastAsia" w:cstheme="majorBidi"/>
      <w:b/>
      <w:color w:val="FF9933"/>
      <w:sz w:val="32"/>
      <w:szCs w:val="32"/>
    </w:rPr>
  </w:style>
  <w:style w:type="paragraph" w:styleId="Heading2">
    <w:name w:val="heading 2"/>
    <w:basedOn w:val="Normal"/>
    <w:next w:val="Normal"/>
    <w:link w:val="Heading2Char"/>
    <w:autoRedefine/>
    <w:uiPriority w:val="9"/>
    <w:unhideWhenUsed/>
    <w:qFormat/>
    <w:rsid w:val="00444D74"/>
    <w:pPr>
      <w:keepNext/>
      <w:keepLines/>
      <w:spacing w:before="40"/>
      <w:outlineLvl w:val="1"/>
    </w:pPr>
    <w:rPr>
      <w:rFonts w:eastAsiaTheme="majorEastAsia" w:cstheme="majorBidi"/>
      <w:color w:val="FF9933"/>
      <w:sz w:val="28"/>
      <w:szCs w:val="26"/>
    </w:rPr>
  </w:style>
  <w:style w:type="paragraph" w:styleId="Heading3">
    <w:name w:val="heading 3"/>
    <w:basedOn w:val="Normal"/>
    <w:next w:val="Normal"/>
    <w:link w:val="Heading3Char"/>
    <w:autoRedefine/>
    <w:uiPriority w:val="9"/>
    <w:unhideWhenUsed/>
    <w:qFormat/>
    <w:rsid w:val="009D0F2C"/>
    <w:pPr>
      <w:keepNext/>
      <w:keepLines/>
      <w:spacing w:before="240" w:after="240"/>
      <w:outlineLvl w:val="2"/>
    </w:pPr>
    <w:rPr>
      <w:rFonts w:asciiTheme="majorHAnsi" w:eastAsiaTheme="majorEastAsia" w:hAnsiTheme="majorHAnsi" w:cstheme="majorBidi"/>
      <w:caps/>
      <w:color w:val="ED7D31" w:themeColor="accent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7CD"/>
    <w:rPr>
      <w:rFonts w:ascii="Franklin Gothic Book" w:eastAsiaTheme="majorEastAsia" w:hAnsi="Franklin Gothic Book" w:cstheme="majorBidi"/>
      <w:b/>
      <w:color w:val="FF9933"/>
      <w:sz w:val="32"/>
      <w:szCs w:val="32"/>
    </w:rPr>
  </w:style>
  <w:style w:type="character" w:customStyle="1" w:styleId="Heading2Char">
    <w:name w:val="Heading 2 Char"/>
    <w:basedOn w:val="DefaultParagraphFont"/>
    <w:link w:val="Heading2"/>
    <w:uiPriority w:val="9"/>
    <w:rsid w:val="00444D74"/>
    <w:rPr>
      <w:rFonts w:ascii="Franklin Gothic Book" w:eastAsiaTheme="majorEastAsia" w:hAnsi="Franklin Gothic Book" w:cstheme="majorBidi"/>
      <w:color w:val="FF9933"/>
      <w:sz w:val="28"/>
      <w:szCs w:val="26"/>
    </w:rPr>
  </w:style>
  <w:style w:type="character" w:customStyle="1" w:styleId="Heading3Char">
    <w:name w:val="Heading 3 Char"/>
    <w:basedOn w:val="DefaultParagraphFont"/>
    <w:link w:val="Heading3"/>
    <w:uiPriority w:val="9"/>
    <w:rsid w:val="009D0F2C"/>
    <w:rPr>
      <w:rFonts w:asciiTheme="majorHAnsi" w:eastAsiaTheme="majorEastAsia" w:hAnsiTheme="majorHAnsi" w:cstheme="majorBidi"/>
      <w:caps/>
      <w:color w:val="ED7D31" w:themeColor="accent2"/>
      <w:sz w:val="24"/>
      <w:szCs w:val="24"/>
    </w:rPr>
  </w:style>
  <w:style w:type="paragraph" w:styleId="Header">
    <w:name w:val="header"/>
    <w:basedOn w:val="Normal"/>
    <w:link w:val="HeaderChar"/>
    <w:uiPriority w:val="99"/>
    <w:unhideWhenUsed/>
    <w:rsid w:val="00592203"/>
    <w:pPr>
      <w:tabs>
        <w:tab w:val="center" w:pos="4680"/>
        <w:tab w:val="right" w:pos="9360"/>
      </w:tabs>
    </w:pPr>
  </w:style>
  <w:style w:type="character" w:customStyle="1" w:styleId="HeaderChar">
    <w:name w:val="Header Char"/>
    <w:basedOn w:val="DefaultParagraphFont"/>
    <w:link w:val="Header"/>
    <w:uiPriority w:val="99"/>
    <w:rsid w:val="00592203"/>
  </w:style>
  <w:style w:type="paragraph" w:styleId="Footer">
    <w:name w:val="footer"/>
    <w:basedOn w:val="Normal"/>
    <w:link w:val="FooterChar"/>
    <w:uiPriority w:val="99"/>
    <w:unhideWhenUsed/>
    <w:rsid w:val="00592203"/>
    <w:pPr>
      <w:tabs>
        <w:tab w:val="center" w:pos="4680"/>
        <w:tab w:val="right" w:pos="9360"/>
      </w:tabs>
    </w:pPr>
  </w:style>
  <w:style w:type="character" w:customStyle="1" w:styleId="FooterChar">
    <w:name w:val="Footer Char"/>
    <w:basedOn w:val="DefaultParagraphFont"/>
    <w:link w:val="Footer"/>
    <w:uiPriority w:val="99"/>
    <w:rsid w:val="00592203"/>
  </w:style>
  <w:style w:type="paragraph" w:styleId="ListParagraph">
    <w:name w:val="List Paragraph"/>
    <w:aliases w:val="List Paragraph (numbered (a)),Dot pt,List Paragraph Char Char Char,Indicator Text,List Paragraph1,Numbered Para 1,List Paragraph12,Bullet Points,MAIN CONTENT,Bullet 1,MCHIP_list paragraph,Recommendation,F5 List Paragraph,No Spacing1"/>
    <w:basedOn w:val="Normal"/>
    <w:link w:val="ListParagraphChar"/>
    <w:uiPriority w:val="34"/>
    <w:qFormat/>
    <w:rsid w:val="007E07B6"/>
    <w:pPr>
      <w:spacing w:after="160" w:line="259" w:lineRule="auto"/>
      <w:ind w:left="720"/>
      <w:contextualSpacing/>
      <w:jc w:val="left"/>
    </w:pPr>
  </w:style>
  <w:style w:type="character" w:customStyle="1" w:styleId="ListParagraphChar">
    <w:name w:val="List Paragraph Char"/>
    <w:aliases w:val="List Paragraph (numbered (a)) Char,Dot pt Char,List Paragraph Char Char Char Char,Indicator Text Char,List Paragraph1 Char,Numbered Para 1 Char,List Paragraph12 Char,Bullet Points Char,MAIN CONTENT Char,Bullet 1 Char,No Spacing1 Char"/>
    <w:basedOn w:val="DefaultParagraphFont"/>
    <w:link w:val="ListParagraph"/>
    <w:uiPriority w:val="34"/>
    <w:locked/>
    <w:rsid w:val="00490A19"/>
  </w:style>
  <w:style w:type="character" w:styleId="Hyperlink">
    <w:name w:val="Hyperlink"/>
    <w:basedOn w:val="DefaultParagraphFont"/>
    <w:uiPriority w:val="99"/>
    <w:unhideWhenUsed/>
    <w:rsid w:val="007E07B6"/>
    <w:rPr>
      <w:color w:val="0563C1"/>
      <w:u w:val="single"/>
    </w:rPr>
  </w:style>
  <w:style w:type="paragraph" w:styleId="FootnoteText">
    <w:name w:val="footnote text"/>
    <w:aliases w:val="Footnote text NRC"/>
    <w:basedOn w:val="Normal"/>
    <w:link w:val="FootnoteTextChar"/>
    <w:unhideWhenUsed/>
    <w:qFormat/>
    <w:rsid w:val="007E07B6"/>
    <w:pPr>
      <w:jc w:val="left"/>
    </w:pPr>
    <w:rPr>
      <w:szCs w:val="20"/>
    </w:rPr>
  </w:style>
  <w:style w:type="character" w:customStyle="1" w:styleId="FootnoteTextChar">
    <w:name w:val="Footnote Text Char"/>
    <w:aliases w:val="Footnote text NRC Char"/>
    <w:basedOn w:val="DefaultParagraphFont"/>
    <w:link w:val="FootnoteText"/>
    <w:rsid w:val="007E07B6"/>
    <w:rPr>
      <w:sz w:val="20"/>
      <w:szCs w:val="20"/>
    </w:rPr>
  </w:style>
  <w:style w:type="character" w:styleId="FootnoteReference">
    <w:name w:val="footnote reference"/>
    <w:basedOn w:val="DefaultParagraphFont"/>
    <w:unhideWhenUsed/>
    <w:rsid w:val="007E07B6"/>
    <w:rPr>
      <w:vertAlign w:val="superscript"/>
    </w:rPr>
  </w:style>
  <w:style w:type="character" w:styleId="CommentReference">
    <w:name w:val="annotation reference"/>
    <w:basedOn w:val="DefaultParagraphFont"/>
    <w:uiPriority w:val="99"/>
    <w:semiHidden/>
    <w:unhideWhenUsed/>
    <w:rsid w:val="007E07B6"/>
    <w:rPr>
      <w:sz w:val="16"/>
      <w:szCs w:val="16"/>
    </w:rPr>
  </w:style>
  <w:style w:type="paragraph" w:styleId="CommentText">
    <w:name w:val="annotation text"/>
    <w:basedOn w:val="Normal"/>
    <w:link w:val="CommentTextChar"/>
    <w:uiPriority w:val="99"/>
    <w:unhideWhenUsed/>
    <w:rsid w:val="007E07B6"/>
    <w:pPr>
      <w:spacing w:after="160"/>
      <w:jc w:val="left"/>
    </w:pPr>
    <w:rPr>
      <w:szCs w:val="20"/>
    </w:rPr>
  </w:style>
  <w:style w:type="character" w:customStyle="1" w:styleId="CommentTextChar">
    <w:name w:val="Comment Text Char"/>
    <w:basedOn w:val="DefaultParagraphFont"/>
    <w:link w:val="CommentText"/>
    <w:uiPriority w:val="99"/>
    <w:rsid w:val="007E07B6"/>
    <w:rPr>
      <w:sz w:val="20"/>
      <w:szCs w:val="20"/>
    </w:rPr>
  </w:style>
  <w:style w:type="character" w:styleId="Strong">
    <w:name w:val="Strong"/>
    <w:basedOn w:val="DefaultParagraphFont"/>
    <w:uiPriority w:val="22"/>
    <w:qFormat/>
    <w:rsid w:val="007E07B6"/>
    <w:rPr>
      <w:b/>
      <w:bCs/>
    </w:rPr>
  </w:style>
  <w:style w:type="paragraph" w:styleId="BalloonText">
    <w:name w:val="Balloon Text"/>
    <w:basedOn w:val="Normal"/>
    <w:link w:val="BalloonTextChar"/>
    <w:uiPriority w:val="99"/>
    <w:semiHidden/>
    <w:unhideWhenUsed/>
    <w:rsid w:val="007E07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07B6"/>
    <w:rPr>
      <w:rFonts w:ascii="Segoe UI" w:hAnsi="Segoe UI" w:cs="Segoe UI"/>
      <w:sz w:val="18"/>
      <w:szCs w:val="18"/>
    </w:rPr>
  </w:style>
  <w:style w:type="table" w:styleId="TableGrid">
    <w:name w:val="Table Grid"/>
    <w:basedOn w:val="TableNormal"/>
    <w:uiPriority w:val="39"/>
    <w:rsid w:val="004B62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tion-label">
    <w:name w:val="option-label"/>
    <w:basedOn w:val="DefaultParagraphFont"/>
    <w:rsid w:val="00952565"/>
  </w:style>
  <w:style w:type="paragraph" w:styleId="TOCHeading">
    <w:name w:val="TOC Heading"/>
    <w:basedOn w:val="Heading1"/>
    <w:next w:val="Normal"/>
    <w:uiPriority w:val="39"/>
    <w:unhideWhenUsed/>
    <w:qFormat/>
    <w:rsid w:val="001B1741"/>
    <w:pPr>
      <w:spacing w:line="259" w:lineRule="auto"/>
      <w:jc w:val="left"/>
      <w:outlineLvl w:val="9"/>
    </w:pPr>
    <w:rPr>
      <w:b w:val="0"/>
      <w:color w:val="2E74B5" w:themeColor="accent1" w:themeShade="BF"/>
    </w:rPr>
  </w:style>
  <w:style w:type="paragraph" w:styleId="TOC1">
    <w:name w:val="toc 1"/>
    <w:basedOn w:val="Normal"/>
    <w:next w:val="Normal"/>
    <w:autoRedefine/>
    <w:uiPriority w:val="39"/>
    <w:unhideWhenUsed/>
    <w:rsid w:val="00077353"/>
    <w:pPr>
      <w:tabs>
        <w:tab w:val="right" w:leader="dot" w:pos="10214"/>
      </w:tabs>
      <w:spacing w:after="100"/>
    </w:pPr>
    <w:rPr>
      <w:b/>
      <w:noProof/>
    </w:rPr>
  </w:style>
  <w:style w:type="paragraph" w:styleId="TOC2">
    <w:name w:val="toc 2"/>
    <w:basedOn w:val="Normal"/>
    <w:next w:val="Normal"/>
    <w:autoRedefine/>
    <w:uiPriority w:val="39"/>
    <w:unhideWhenUsed/>
    <w:rsid w:val="001B1741"/>
    <w:pPr>
      <w:spacing w:after="100"/>
      <w:ind w:left="220"/>
    </w:pPr>
  </w:style>
  <w:style w:type="character" w:styleId="Emphasis">
    <w:name w:val="Emphasis"/>
    <w:basedOn w:val="DefaultParagraphFont"/>
    <w:uiPriority w:val="20"/>
    <w:qFormat/>
    <w:rsid w:val="00C26DAB"/>
    <w:rPr>
      <w:i/>
      <w:iCs/>
    </w:rPr>
  </w:style>
  <w:style w:type="table" w:styleId="TableGridLight">
    <w:name w:val="Grid Table Light"/>
    <w:basedOn w:val="TableNormal"/>
    <w:uiPriority w:val="40"/>
    <w:rsid w:val="002018D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710B9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ommentSubject">
    <w:name w:val="annotation subject"/>
    <w:basedOn w:val="CommentText"/>
    <w:next w:val="CommentText"/>
    <w:link w:val="CommentSubjectChar"/>
    <w:uiPriority w:val="99"/>
    <w:semiHidden/>
    <w:unhideWhenUsed/>
    <w:rsid w:val="00B84D2B"/>
    <w:pPr>
      <w:spacing w:after="0"/>
      <w:jc w:val="both"/>
    </w:pPr>
    <w:rPr>
      <w:b/>
      <w:bCs/>
    </w:rPr>
  </w:style>
  <w:style w:type="character" w:customStyle="1" w:styleId="CommentSubjectChar">
    <w:name w:val="Comment Subject Char"/>
    <w:basedOn w:val="CommentTextChar"/>
    <w:link w:val="CommentSubject"/>
    <w:uiPriority w:val="99"/>
    <w:semiHidden/>
    <w:rsid w:val="00B84D2B"/>
    <w:rPr>
      <w:b/>
      <w:bCs/>
      <w:sz w:val="20"/>
      <w:szCs w:val="20"/>
    </w:rPr>
  </w:style>
  <w:style w:type="paragraph" w:styleId="Revision">
    <w:name w:val="Revision"/>
    <w:hidden/>
    <w:uiPriority w:val="99"/>
    <w:semiHidden/>
    <w:rsid w:val="00B84D2B"/>
    <w:pPr>
      <w:spacing w:after="0" w:line="240" w:lineRule="auto"/>
    </w:pPr>
  </w:style>
  <w:style w:type="paragraph" w:styleId="Caption">
    <w:name w:val="caption"/>
    <w:basedOn w:val="Normal"/>
    <w:next w:val="Normal"/>
    <w:uiPriority w:val="35"/>
    <w:unhideWhenUsed/>
    <w:qFormat/>
    <w:rsid w:val="00AF2275"/>
    <w:pPr>
      <w:spacing w:after="200"/>
    </w:pPr>
    <w:rPr>
      <w:i/>
      <w:iCs/>
      <w:color w:val="44546A" w:themeColor="text2"/>
      <w:sz w:val="18"/>
      <w:szCs w:val="18"/>
    </w:rPr>
  </w:style>
  <w:style w:type="character" w:customStyle="1" w:styleId="UnresolvedMention1">
    <w:name w:val="Unresolved Mention1"/>
    <w:basedOn w:val="DefaultParagraphFont"/>
    <w:uiPriority w:val="99"/>
    <w:semiHidden/>
    <w:unhideWhenUsed/>
    <w:rsid w:val="00AB4BB4"/>
    <w:rPr>
      <w:color w:val="605E5C"/>
      <w:shd w:val="clear" w:color="auto" w:fill="E1DFDD"/>
    </w:rPr>
  </w:style>
  <w:style w:type="paragraph" w:styleId="NoSpacing">
    <w:name w:val="No Spacing"/>
    <w:uiPriority w:val="1"/>
    <w:qFormat/>
    <w:rsid w:val="00046E93"/>
    <w:pPr>
      <w:spacing w:after="0" w:line="240" w:lineRule="auto"/>
      <w:jc w:val="both"/>
    </w:pPr>
  </w:style>
  <w:style w:type="paragraph" w:styleId="TOC3">
    <w:name w:val="toc 3"/>
    <w:basedOn w:val="Normal"/>
    <w:next w:val="Normal"/>
    <w:autoRedefine/>
    <w:uiPriority w:val="39"/>
    <w:unhideWhenUsed/>
    <w:rsid w:val="00FB1F74"/>
    <w:pPr>
      <w:spacing w:after="100"/>
      <w:ind w:left="400"/>
    </w:pPr>
  </w:style>
  <w:style w:type="character" w:styleId="IntenseReference">
    <w:name w:val="Intense Reference"/>
    <w:basedOn w:val="DefaultParagraphFont"/>
    <w:uiPriority w:val="32"/>
    <w:qFormat/>
    <w:rsid w:val="00B21431"/>
    <w:rPr>
      <w:b/>
      <w:bCs/>
      <w:smallCaps/>
      <w:color w:val="5B9BD5" w:themeColor="accent1"/>
      <w:spacing w:val="5"/>
    </w:rPr>
  </w:style>
  <w:style w:type="character" w:customStyle="1" w:styleId="UnresolvedMention2">
    <w:name w:val="Unresolved Mention2"/>
    <w:basedOn w:val="DefaultParagraphFont"/>
    <w:uiPriority w:val="99"/>
    <w:semiHidden/>
    <w:unhideWhenUsed/>
    <w:rsid w:val="000B5DDC"/>
    <w:rPr>
      <w:color w:val="605E5C"/>
      <w:shd w:val="clear" w:color="auto" w:fill="E1DFDD"/>
    </w:rPr>
  </w:style>
  <w:style w:type="paragraph" w:customStyle="1" w:styleId="msonormal0">
    <w:name w:val="msonormal"/>
    <w:basedOn w:val="Normal"/>
    <w:rsid w:val="00782190"/>
    <w:pPr>
      <w:spacing w:before="100" w:beforeAutospacing="1" w:after="100" w:afterAutospacing="1"/>
      <w:jc w:val="left"/>
    </w:pPr>
    <w:rPr>
      <w:rFonts w:ascii="Times New Roman" w:eastAsia="Times New Roman" w:hAnsi="Times New Roman" w:cs="Times New Roman"/>
      <w:sz w:val="24"/>
      <w:szCs w:val="24"/>
      <w:lang w:val="en-GB" w:eastAsia="en-GB"/>
    </w:rPr>
  </w:style>
  <w:style w:type="character" w:customStyle="1" w:styleId="UnresolvedMention">
    <w:name w:val="Unresolved Mention"/>
    <w:basedOn w:val="DefaultParagraphFont"/>
    <w:uiPriority w:val="99"/>
    <w:semiHidden/>
    <w:unhideWhenUsed/>
    <w:rsid w:val="001B0803"/>
    <w:rPr>
      <w:color w:val="605E5C"/>
      <w:shd w:val="clear" w:color="auto" w:fill="E1DFDD"/>
    </w:rPr>
  </w:style>
  <w:style w:type="character" w:styleId="FollowedHyperlink">
    <w:name w:val="FollowedHyperlink"/>
    <w:basedOn w:val="DefaultParagraphFont"/>
    <w:uiPriority w:val="99"/>
    <w:semiHidden/>
    <w:unhideWhenUsed/>
    <w:rsid w:val="009726B4"/>
    <w:rPr>
      <w:color w:val="954F72" w:themeColor="followedHyperlink"/>
      <w:u w:val="single"/>
    </w:rPr>
  </w:style>
  <w:style w:type="character" w:customStyle="1" w:styleId="A8">
    <w:name w:val="A8"/>
    <w:uiPriority w:val="99"/>
    <w:rsid w:val="002A7CBB"/>
    <w:rPr>
      <w:rFonts w:cs="EC Square Sans Pro"/>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23">
      <w:bodyDiv w:val="1"/>
      <w:marLeft w:val="0"/>
      <w:marRight w:val="0"/>
      <w:marTop w:val="0"/>
      <w:marBottom w:val="0"/>
      <w:divBdr>
        <w:top w:val="none" w:sz="0" w:space="0" w:color="auto"/>
        <w:left w:val="none" w:sz="0" w:space="0" w:color="auto"/>
        <w:bottom w:val="none" w:sz="0" w:space="0" w:color="auto"/>
        <w:right w:val="none" w:sz="0" w:space="0" w:color="auto"/>
      </w:divBdr>
    </w:div>
    <w:div w:id="38476893">
      <w:bodyDiv w:val="1"/>
      <w:marLeft w:val="0"/>
      <w:marRight w:val="0"/>
      <w:marTop w:val="0"/>
      <w:marBottom w:val="0"/>
      <w:divBdr>
        <w:top w:val="none" w:sz="0" w:space="0" w:color="auto"/>
        <w:left w:val="none" w:sz="0" w:space="0" w:color="auto"/>
        <w:bottom w:val="none" w:sz="0" w:space="0" w:color="auto"/>
        <w:right w:val="none" w:sz="0" w:space="0" w:color="auto"/>
      </w:divBdr>
    </w:div>
    <w:div w:id="67584724">
      <w:bodyDiv w:val="1"/>
      <w:marLeft w:val="0"/>
      <w:marRight w:val="0"/>
      <w:marTop w:val="0"/>
      <w:marBottom w:val="0"/>
      <w:divBdr>
        <w:top w:val="none" w:sz="0" w:space="0" w:color="auto"/>
        <w:left w:val="none" w:sz="0" w:space="0" w:color="auto"/>
        <w:bottom w:val="none" w:sz="0" w:space="0" w:color="auto"/>
        <w:right w:val="none" w:sz="0" w:space="0" w:color="auto"/>
      </w:divBdr>
    </w:div>
    <w:div w:id="70584925">
      <w:bodyDiv w:val="1"/>
      <w:marLeft w:val="0"/>
      <w:marRight w:val="0"/>
      <w:marTop w:val="0"/>
      <w:marBottom w:val="0"/>
      <w:divBdr>
        <w:top w:val="none" w:sz="0" w:space="0" w:color="auto"/>
        <w:left w:val="none" w:sz="0" w:space="0" w:color="auto"/>
        <w:bottom w:val="none" w:sz="0" w:space="0" w:color="auto"/>
        <w:right w:val="none" w:sz="0" w:space="0" w:color="auto"/>
      </w:divBdr>
    </w:div>
    <w:div w:id="110823540">
      <w:bodyDiv w:val="1"/>
      <w:marLeft w:val="0"/>
      <w:marRight w:val="0"/>
      <w:marTop w:val="0"/>
      <w:marBottom w:val="0"/>
      <w:divBdr>
        <w:top w:val="none" w:sz="0" w:space="0" w:color="auto"/>
        <w:left w:val="none" w:sz="0" w:space="0" w:color="auto"/>
        <w:bottom w:val="none" w:sz="0" w:space="0" w:color="auto"/>
        <w:right w:val="none" w:sz="0" w:space="0" w:color="auto"/>
      </w:divBdr>
    </w:div>
    <w:div w:id="118258658">
      <w:bodyDiv w:val="1"/>
      <w:marLeft w:val="0"/>
      <w:marRight w:val="0"/>
      <w:marTop w:val="0"/>
      <w:marBottom w:val="0"/>
      <w:divBdr>
        <w:top w:val="none" w:sz="0" w:space="0" w:color="auto"/>
        <w:left w:val="none" w:sz="0" w:space="0" w:color="auto"/>
        <w:bottom w:val="none" w:sz="0" w:space="0" w:color="auto"/>
        <w:right w:val="none" w:sz="0" w:space="0" w:color="auto"/>
      </w:divBdr>
    </w:div>
    <w:div w:id="142742537">
      <w:bodyDiv w:val="1"/>
      <w:marLeft w:val="0"/>
      <w:marRight w:val="0"/>
      <w:marTop w:val="0"/>
      <w:marBottom w:val="0"/>
      <w:divBdr>
        <w:top w:val="none" w:sz="0" w:space="0" w:color="auto"/>
        <w:left w:val="none" w:sz="0" w:space="0" w:color="auto"/>
        <w:bottom w:val="none" w:sz="0" w:space="0" w:color="auto"/>
        <w:right w:val="none" w:sz="0" w:space="0" w:color="auto"/>
      </w:divBdr>
    </w:div>
    <w:div w:id="168449515">
      <w:bodyDiv w:val="1"/>
      <w:marLeft w:val="0"/>
      <w:marRight w:val="0"/>
      <w:marTop w:val="0"/>
      <w:marBottom w:val="0"/>
      <w:divBdr>
        <w:top w:val="none" w:sz="0" w:space="0" w:color="auto"/>
        <w:left w:val="none" w:sz="0" w:space="0" w:color="auto"/>
        <w:bottom w:val="none" w:sz="0" w:space="0" w:color="auto"/>
        <w:right w:val="none" w:sz="0" w:space="0" w:color="auto"/>
      </w:divBdr>
    </w:div>
    <w:div w:id="190801212">
      <w:bodyDiv w:val="1"/>
      <w:marLeft w:val="0"/>
      <w:marRight w:val="0"/>
      <w:marTop w:val="0"/>
      <w:marBottom w:val="0"/>
      <w:divBdr>
        <w:top w:val="none" w:sz="0" w:space="0" w:color="auto"/>
        <w:left w:val="none" w:sz="0" w:space="0" w:color="auto"/>
        <w:bottom w:val="none" w:sz="0" w:space="0" w:color="auto"/>
        <w:right w:val="none" w:sz="0" w:space="0" w:color="auto"/>
      </w:divBdr>
    </w:div>
    <w:div w:id="191648291">
      <w:bodyDiv w:val="1"/>
      <w:marLeft w:val="0"/>
      <w:marRight w:val="0"/>
      <w:marTop w:val="0"/>
      <w:marBottom w:val="0"/>
      <w:divBdr>
        <w:top w:val="none" w:sz="0" w:space="0" w:color="auto"/>
        <w:left w:val="none" w:sz="0" w:space="0" w:color="auto"/>
        <w:bottom w:val="none" w:sz="0" w:space="0" w:color="auto"/>
        <w:right w:val="none" w:sz="0" w:space="0" w:color="auto"/>
      </w:divBdr>
    </w:div>
    <w:div w:id="211776003">
      <w:bodyDiv w:val="1"/>
      <w:marLeft w:val="0"/>
      <w:marRight w:val="0"/>
      <w:marTop w:val="0"/>
      <w:marBottom w:val="0"/>
      <w:divBdr>
        <w:top w:val="none" w:sz="0" w:space="0" w:color="auto"/>
        <w:left w:val="none" w:sz="0" w:space="0" w:color="auto"/>
        <w:bottom w:val="none" w:sz="0" w:space="0" w:color="auto"/>
        <w:right w:val="none" w:sz="0" w:space="0" w:color="auto"/>
      </w:divBdr>
    </w:div>
    <w:div w:id="222303097">
      <w:bodyDiv w:val="1"/>
      <w:marLeft w:val="0"/>
      <w:marRight w:val="0"/>
      <w:marTop w:val="0"/>
      <w:marBottom w:val="0"/>
      <w:divBdr>
        <w:top w:val="none" w:sz="0" w:space="0" w:color="auto"/>
        <w:left w:val="none" w:sz="0" w:space="0" w:color="auto"/>
        <w:bottom w:val="none" w:sz="0" w:space="0" w:color="auto"/>
        <w:right w:val="none" w:sz="0" w:space="0" w:color="auto"/>
      </w:divBdr>
    </w:div>
    <w:div w:id="257565130">
      <w:bodyDiv w:val="1"/>
      <w:marLeft w:val="0"/>
      <w:marRight w:val="0"/>
      <w:marTop w:val="0"/>
      <w:marBottom w:val="0"/>
      <w:divBdr>
        <w:top w:val="none" w:sz="0" w:space="0" w:color="auto"/>
        <w:left w:val="none" w:sz="0" w:space="0" w:color="auto"/>
        <w:bottom w:val="none" w:sz="0" w:space="0" w:color="auto"/>
        <w:right w:val="none" w:sz="0" w:space="0" w:color="auto"/>
      </w:divBdr>
    </w:div>
    <w:div w:id="272131597">
      <w:bodyDiv w:val="1"/>
      <w:marLeft w:val="0"/>
      <w:marRight w:val="0"/>
      <w:marTop w:val="0"/>
      <w:marBottom w:val="0"/>
      <w:divBdr>
        <w:top w:val="none" w:sz="0" w:space="0" w:color="auto"/>
        <w:left w:val="none" w:sz="0" w:space="0" w:color="auto"/>
        <w:bottom w:val="none" w:sz="0" w:space="0" w:color="auto"/>
        <w:right w:val="none" w:sz="0" w:space="0" w:color="auto"/>
      </w:divBdr>
    </w:div>
    <w:div w:id="285936645">
      <w:bodyDiv w:val="1"/>
      <w:marLeft w:val="0"/>
      <w:marRight w:val="0"/>
      <w:marTop w:val="0"/>
      <w:marBottom w:val="0"/>
      <w:divBdr>
        <w:top w:val="none" w:sz="0" w:space="0" w:color="auto"/>
        <w:left w:val="none" w:sz="0" w:space="0" w:color="auto"/>
        <w:bottom w:val="none" w:sz="0" w:space="0" w:color="auto"/>
        <w:right w:val="none" w:sz="0" w:space="0" w:color="auto"/>
      </w:divBdr>
    </w:div>
    <w:div w:id="332681560">
      <w:bodyDiv w:val="1"/>
      <w:marLeft w:val="0"/>
      <w:marRight w:val="0"/>
      <w:marTop w:val="0"/>
      <w:marBottom w:val="0"/>
      <w:divBdr>
        <w:top w:val="none" w:sz="0" w:space="0" w:color="auto"/>
        <w:left w:val="none" w:sz="0" w:space="0" w:color="auto"/>
        <w:bottom w:val="none" w:sz="0" w:space="0" w:color="auto"/>
        <w:right w:val="none" w:sz="0" w:space="0" w:color="auto"/>
      </w:divBdr>
    </w:div>
    <w:div w:id="333386480">
      <w:bodyDiv w:val="1"/>
      <w:marLeft w:val="0"/>
      <w:marRight w:val="0"/>
      <w:marTop w:val="0"/>
      <w:marBottom w:val="0"/>
      <w:divBdr>
        <w:top w:val="none" w:sz="0" w:space="0" w:color="auto"/>
        <w:left w:val="none" w:sz="0" w:space="0" w:color="auto"/>
        <w:bottom w:val="none" w:sz="0" w:space="0" w:color="auto"/>
        <w:right w:val="none" w:sz="0" w:space="0" w:color="auto"/>
      </w:divBdr>
    </w:div>
    <w:div w:id="357590155">
      <w:bodyDiv w:val="1"/>
      <w:marLeft w:val="0"/>
      <w:marRight w:val="0"/>
      <w:marTop w:val="0"/>
      <w:marBottom w:val="0"/>
      <w:divBdr>
        <w:top w:val="none" w:sz="0" w:space="0" w:color="auto"/>
        <w:left w:val="none" w:sz="0" w:space="0" w:color="auto"/>
        <w:bottom w:val="none" w:sz="0" w:space="0" w:color="auto"/>
        <w:right w:val="none" w:sz="0" w:space="0" w:color="auto"/>
      </w:divBdr>
    </w:div>
    <w:div w:id="361706498">
      <w:bodyDiv w:val="1"/>
      <w:marLeft w:val="0"/>
      <w:marRight w:val="0"/>
      <w:marTop w:val="0"/>
      <w:marBottom w:val="0"/>
      <w:divBdr>
        <w:top w:val="none" w:sz="0" w:space="0" w:color="auto"/>
        <w:left w:val="none" w:sz="0" w:space="0" w:color="auto"/>
        <w:bottom w:val="none" w:sz="0" w:space="0" w:color="auto"/>
        <w:right w:val="none" w:sz="0" w:space="0" w:color="auto"/>
      </w:divBdr>
    </w:div>
    <w:div w:id="361907804">
      <w:bodyDiv w:val="1"/>
      <w:marLeft w:val="0"/>
      <w:marRight w:val="0"/>
      <w:marTop w:val="0"/>
      <w:marBottom w:val="0"/>
      <w:divBdr>
        <w:top w:val="none" w:sz="0" w:space="0" w:color="auto"/>
        <w:left w:val="none" w:sz="0" w:space="0" w:color="auto"/>
        <w:bottom w:val="none" w:sz="0" w:space="0" w:color="auto"/>
        <w:right w:val="none" w:sz="0" w:space="0" w:color="auto"/>
      </w:divBdr>
    </w:div>
    <w:div w:id="369648017">
      <w:bodyDiv w:val="1"/>
      <w:marLeft w:val="0"/>
      <w:marRight w:val="0"/>
      <w:marTop w:val="0"/>
      <w:marBottom w:val="0"/>
      <w:divBdr>
        <w:top w:val="none" w:sz="0" w:space="0" w:color="auto"/>
        <w:left w:val="none" w:sz="0" w:space="0" w:color="auto"/>
        <w:bottom w:val="none" w:sz="0" w:space="0" w:color="auto"/>
        <w:right w:val="none" w:sz="0" w:space="0" w:color="auto"/>
      </w:divBdr>
    </w:div>
    <w:div w:id="371000653">
      <w:bodyDiv w:val="1"/>
      <w:marLeft w:val="0"/>
      <w:marRight w:val="0"/>
      <w:marTop w:val="0"/>
      <w:marBottom w:val="0"/>
      <w:divBdr>
        <w:top w:val="none" w:sz="0" w:space="0" w:color="auto"/>
        <w:left w:val="none" w:sz="0" w:space="0" w:color="auto"/>
        <w:bottom w:val="none" w:sz="0" w:space="0" w:color="auto"/>
        <w:right w:val="none" w:sz="0" w:space="0" w:color="auto"/>
      </w:divBdr>
    </w:div>
    <w:div w:id="419957220">
      <w:bodyDiv w:val="1"/>
      <w:marLeft w:val="0"/>
      <w:marRight w:val="0"/>
      <w:marTop w:val="0"/>
      <w:marBottom w:val="0"/>
      <w:divBdr>
        <w:top w:val="none" w:sz="0" w:space="0" w:color="auto"/>
        <w:left w:val="none" w:sz="0" w:space="0" w:color="auto"/>
        <w:bottom w:val="none" w:sz="0" w:space="0" w:color="auto"/>
        <w:right w:val="none" w:sz="0" w:space="0" w:color="auto"/>
      </w:divBdr>
    </w:div>
    <w:div w:id="431172801">
      <w:bodyDiv w:val="1"/>
      <w:marLeft w:val="0"/>
      <w:marRight w:val="0"/>
      <w:marTop w:val="0"/>
      <w:marBottom w:val="0"/>
      <w:divBdr>
        <w:top w:val="none" w:sz="0" w:space="0" w:color="auto"/>
        <w:left w:val="none" w:sz="0" w:space="0" w:color="auto"/>
        <w:bottom w:val="none" w:sz="0" w:space="0" w:color="auto"/>
        <w:right w:val="none" w:sz="0" w:space="0" w:color="auto"/>
      </w:divBdr>
    </w:div>
    <w:div w:id="432938048">
      <w:bodyDiv w:val="1"/>
      <w:marLeft w:val="0"/>
      <w:marRight w:val="0"/>
      <w:marTop w:val="0"/>
      <w:marBottom w:val="0"/>
      <w:divBdr>
        <w:top w:val="none" w:sz="0" w:space="0" w:color="auto"/>
        <w:left w:val="none" w:sz="0" w:space="0" w:color="auto"/>
        <w:bottom w:val="none" w:sz="0" w:space="0" w:color="auto"/>
        <w:right w:val="none" w:sz="0" w:space="0" w:color="auto"/>
      </w:divBdr>
    </w:div>
    <w:div w:id="455220766">
      <w:bodyDiv w:val="1"/>
      <w:marLeft w:val="0"/>
      <w:marRight w:val="0"/>
      <w:marTop w:val="0"/>
      <w:marBottom w:val="0"/>
      <w:divBdr>
        <w:top w:val="none" w:sz="0" w:space="0" w:color="auto"/>
        <w:left w:val="none" w:sz="0" w:space="0" w:color="auto"/>
        <w:bottom w:val="none" w:sz="0" w:space="0" w:color="auto"/>
        <w:right w:val="none" w:sz="0" w:space="0" w:color="auto"/>
      </w:divBdr>
    </w:div>
    <w:div w:id="455954584">
      <w:bodyDiv w:val="1"/>
      <w:marLeft w:val="0"/>
      <w:marRight w:val="0"/>
      <w:marTop w:val="0"/>
      <w:marBottom w:val="0"/>
      <w:divBdr>
        <w:top w:val="none" w:sz="0" w:space="0" w:color="auto"/>
        <w:left w:val="none" w:sz="0" w:space="0" w:color="auto"/>
        <w:bottom w:val="none" w:sz="0" w:space="0" w:color="auto"/>
        <w:right w:val="none" w:sz="0" w:space="0" w:color="auto"/>
      </w:divBdr>
    </w:div>
    <w:div w:id="457065724">
      <w:bodyDiv w:val="1"/>
      <w:marLeft w:val="0"/>
      <w:marRight w:val="0"/>
      <w:marTop w:val="0"/>
      <w:marBottom w:val="0"/>
      <w:divBdr>
        <w:top w:val="none" w:sz="0" w:space="0" w:color="auto"/>
        <w:left w:val="none" w:sz="0" w:space="0" w:color="auto"/>
        <w:bottom w:val="none" w:sz="0" w:space="0" w:color="auto"/>
        <w:right w:val="none" w:sz="0" w:space="0" w:color="auto"/>
      </w:divBdr>
    </w:div>
    <w:div w:id="460152558">
      <w:bodyDiv w:val="1"/>
      <w:marLeft w:val="0"/>
      <w:marRight w:val="0"/>
      <w:marTop w:val="0"/>
      <w:marBottom w:val="0"/>
      <w:divBdr>
        <w:top w:val="none" w:sz="0" w:space="0" w:color="auto"/>
        <w:left w:val="none" w:sz="0" w:space="0" w:color="auto"/>
        <w:bottom w:val="none" w:sz="0" w:space="0" w:color="auto"/>
        <w:right w:val="none" w:sz="0" w:space="0" w:color="auto"/>
      </w:divBdr>
    </w:div>
    <w:div w:id="466362856">
      <w:bodyDiv w:val="1"/>
      <w:marLeft w:val="0"/>
      <w:marRight w:val="0"/>
      <w:marTop w:val="0"/>
      <w:marBottom w:val="0"/>
      <w:divBdr>
        <w:top w:val="none" w:sz="0" w:space="0" w:color="auto"/>
        <w:left w:val="none" w:sz="0" w:space="0" w:color="auto"/>
        <w:bottom w:val="none" w:sz="0" w:space="0" w:color="auto"/>
        <w:right w:val="none" w:sz="0" w:space="0" w:color="auto"/>
      </w:divBdr>
    </w:div>
    <w:div w:id="488986965">
      <w:bodyDiv w:val="1"/>
      <w:marLeft w:val="0"/>
      <w:marRight w:val="0"/>
      <w:marTop w:val="0"/>
      <w:marBottom w:val="0"/>
      <w:divBdr>
        <w:top w:val="none" w:sz="0" w:space="0" w:color="auto"/>
        <w:left w:val="none" w:sz="0" w:space="0" w:color="auto"/>
        <w:bottom w:val="none" w:sz="0" w:space="0" w:color="auto"/>
        <w:right w:val="none" w:sz="0" w:space="0" w:color="auto"/>
      </w:divBdr>
    </w:div>
    <w:div w:id="492111149">
      <w:bodyDiv w:val="1"/>
      <w:marLeft w:val="0"/>
      <w:marRight w:val="0"/>
      <w:marTop w:val="0"/>
      <w:marBottom w:val="0"/>
      <w:divBdr>
        <w:top w:val="none" w:sz="0" w:space="0" w:color="auto"/>
        <w:left w:val="none" w:sz="0" w:space="0" w:color="auto"/>
        <w:bottom w:val="none" w:sz="0" w:space="0" w:color="auto"/>
        <w:right w:val="none" w:sz="0" w:space="0" w:color="auto"/>
      </w:divBdr>
    </w:div>
    <w:div w:id="503276982">
      <w:bodyDiv w:val="1"/>
      <w:marLeft w:val="0"/>
      <w:marRight w:val="0"/>
      <w:marTop w:val="0"/>
      <w:marBottom w:val="0"/>
      <w:divBdr>
        <w:top w:val="none" w:sz="0" w:space="0" w:color="auto"/>
        <w:left w:val="none" w:sz="0" w:space="0" w:color="auto"/>
        <w:bottom w:val="none" w:sz="0" w:space="0" w:color="auto"/>
        <w:right w:val="none" w:sz="0" w:space="0" w:color="auto"/>
      </w:divBdr>
    </w:div>
    <w:div w:id="507401866">
      <w:bodyDiv w:val="1"/>
      <w:marLeft w:val="0"/>
      <w:marRight w:val="0"/>
      <w:marTop w:val="0"/>
      <w:marBottom w:val="0"/>
      <w:divBdr>
        <w:top w:val="none" w:sz="0" w:space="0" w:color="auto"/>
        <w:left w:val="none" w:sz="0" w:space="0" w:color="auto"/>
        <w:bottom w:val="none" w:sz="0" w:space="0" w:color="auto"/>
        <w:right w:val="none" w:sz="0" w:space="0" w:color="auto"/>
      </w:divBdr>
    </w:div>
    <w:div w:id="523784852">
      <w:bodyDiv w:val="1"/>
      <w:marLeft w:val="0"/>
      <w:marRight w:val="0"/>
      <w:marTop w:val="0"/>
      <w:marBottom w:val="0"/>
      <w:divBdr>
        <w:top w:val="none" w:sz="0" w:space="0" w:color="auto"/>
        <w:left w:val="none" w:sz="0" w:space="0" w:color="auto"/>
        <w:bottom w:val="none" w:sz="0" w:space="0" w:color="auto"/>
        <w:right w:val="none" w:sz="0" w:space="0" w:color="auto"/>
      </w:divBdr>
    </w:div>
    <w:div w:id="529954245">
      <w:bodyDiv w:val="1"/>
      <w:marLeft w:val="0"/>
      <w:marRight w:val="0"/>
      <w:marTop w:val="0"/>
      <w:marBottom w:val="0"/>
      <w:divBdr>
        <w:top w:val="none" w:sz="0" w:space="0" w:color="auto"/>
        <w:left w:val="none" w:sz="0" w:space="0" w:color="auto"/>
        <w:bottom w:val="none" w:sz="0" w:space="0" w:color="auto"/>
        <w:right w:val="none" w:sz="0" w:space="0" w:color="auto"/>
      </w:divBdr>
    </w:div>
    <w:div w:id="533423860">
      <w:bodyDiv w:val="1"/>
      <w:marLeft w:val="0"/>
      <w:marRight w:val="0"/>
      <w:marTop w:val="0"/>
      <w:marBottom w:val="0"/>
      <w:divBdr>
        <w:top w:val="none" w:sz="0" w:space="0" w:color="auto"/>
        <w:left w:val="none" w:sz="0" w:space="0" w:color="auto"/>
        <w:bottom w:val="none" w:sz="0" w:space="0" w:color="auto"/>
        <w:right w:val="none" w:sz="0" w:space="0" w:color="auto"/>
      </w:divBdr>
    </w:div>
    <w:div w:id="540828983">
      <w:bodyDiv w:val="1"/>
      <w:marLeft w:val="0"/>
      <w:marRight w:val="0"/>
      <w:marTop w:val="0"/>
      <w:marBottom w:val="0"/>
      <w:divBdr>
        <w:top w:val="none" w:sz="0" w:space="0" w:color="auto"/>
        <w:left w:val="none" w:sz="0" w:space="0" w:color="auto"/>
        <w:bottom w:val="none" w:sz="0" w:space="0" w:color="auto"/>
        <w:right w:val="none" w:sz="0" w:space="0" w:color="auto"/>
      </w:divBdr>
    </w:div>
    <w:div w:id="549928160">
      <w:bodyDiv w:val="1"/>
      <w:marLeft w:val="0"/>
      <w:marRight w:val="0"/>
      <w:marTop w:val="0"/>
      <w:marBottom w:val="0"/>
      <w:divBdr>
        <w:top w:val="none" w:sz="0" w:space="0" w:color="auto"/>
        <w:left w:val="none" w:sz="0" w:space="0" w:color="auto"/>
        <w:bottom w:val="none" w:sz="0" w:space="0" w:color="auto"/>
        <w:right w:val="none" w:sz="0" w:space="0" w:color="auto"/>
      </w:divBdr>
    </w:div>
    <w:div w:id="565189012">
      <w:bodyDiv w:val="1"/>
      <w:marLeft w:val="0"/>
      <w:marRight w:val="0"/>
      <w:marTop w:val="0"/>
      <w:marBottom w:val="0"/>
      <w:divBdr>
        <w:top w:val="none" w:sz="0" w:space="0" w:color="auto"/>
        <w:left w:val="none" w:sz="0" w:space="0" w:color="auto"/>
        <w:bottom w:val="none" w:sz="0" w:space="0" w:color="auto"/>
        <w:right w:val="none" w:sz="0" w:space="0" w:color="auto"/>
      </w:divBdr>
    </w:div>
    <w:div w:id="591548940">
      <w:bodyDiv w:val="1"/>
      <w:marLeft w:val="0"/>
      <w:marRight w:val="0"/>
      <w:marTop w:val="0"/>
      <w:marBottom w:val="0"/>
      <w:divBdr>
        <w:top w:val="none" w:sz="0" w:space="0" w:color="auto"/>
        <w:left w:val="none" w:sz="0" w:space="0" w:color="auto"/>
        <w:bottom w:val="none" w:sz="0" w:space="0" w:color="auto"/>
        <w:right w:val="none" w:sz="0" w:space="0" w:color="auto"/>
      </w:divBdr>
    </w:div>
    <w:div w:id="660085113">
      <w:bodyDiv w:val="1"/>
      <w:marLeft w:val="0"/>
      <w:marRight w:val="0"/>
      <w:marTop w:val="0"/>
      <w:marBottom w:val="0"/>
      <w:divBdr>
        <w:top w:val="none" w:sz="0" w:space="0" w:color="auto"/>
        <w:left w:val="none" w:sz="0" w:space="0" w:color="auto"/>
        <w:bottom w:val="none" w:sz="0" w:space="0" w:color="auto"/>
        <w:right w:val="none" w:sz="0" w:space="0" w:color="auto"/>
      </w:divBdr>
    </w:div>
    <w:div w:id="687416732">
      <w:bodyDiv w:val="1"/>
      <w:marLeft w:val="0"/>
      <w:marRight w:val="0"/>
      <w:marTop w:val="0"/>
      <w:marBottom w:val="0"/>
      <w:divBdr>
        <w:top w:val="none" w:sz="0" w:space="0" w:color="auto"/>
        <w:left w:val="none" w:sz="0" w:space="0" w:color="auto"/>
        <w:bottom w:val="none" w:sz="0" w:space="0" w:color="auto"/>
        <w:right w:val="none" w:sz="0" w:space="0" w:color="auto"/>
      </w:divBdr>
    </w:div>
    <w:div w:id="709375800">
      <w:bodyDiv w:val="1"/>
      <w:marLeft w:val="0"/>
      <w:marRight w:val="0"/>
      <w:marTop w:val="0"/>
      <w:marBottom w:val="0"/>
      <w:divBdr>
        <w:top w:val="none" w:sz="0" w:space="0" w:color="auto"/>
        <w:left w:val="none" w:sz="0" w:space="0" w:color="auto"/>
        <w:bottom w:val="none" w:sz="0" w:space="0" w:color="auto"/>
        <w:right w:val="none" w:sz="0" w:space="0" w:color="auto"/>
      </w:divBdr>
    </w:div>
    <w:div w:id="727385387">
      <w:bodyDiv w:val="1"/>
      <w:marLeft w:val="0"/>
      <w:marRight w:val="0"/>
      <w:marTop w:val="0"/>
      <w:marBottom w:val="0"/>
      <w:divBdr>
        <w:top w:val="none" w:sz="0" w:space="0" w:color="auto"/>
        <w:left w:val="none" w:sz="0" w:space="0" w:color="auto"/>
        <w:bottom w:val="none" w:sz="0" w:space="0" w:color="auto"/>
        <w:right w:val="none" w:sz="0" w:space="0" w:color="auto"/>
      </w:divBdr>
    </w:div>
    <w:div w:id="728847028">
      <w:bodyDiv w:val="1"/>
      <w:marLeft w:val="0"/>
      <w:marRight w:val="0"/>
      <w:marTop w:val="0"/>
      <w:marBottom w:val="0"/>
      <w:divBdr>
        <w:top w:val="none" w:sz="0" w:space="0" w:color="auto"/>
        <w:left w:val="none" w:sz="0" w:space="0" w:color="auto"/>
        <w:bottom w:val="none" w:sz="0" w:space="0" w:color="auto"/>
        <w:right w:val="none" w:sz="0" w:space="0" w:color="auto"/>
      </w:divBdr>
    </w:div>
    <w:div w:id="763648233">
      <w:bodyDiv w:val="1"/>
      <w:marLeft w:val="0"/>
      <w:marRight w:val="0"/>
      <w:marTop w:val="0"/>
      <w:marBottom w:val="0"/>
      <w:divBdr>
        <w:top w:val="none" w:sz="0" w:space="0" w:color="auto"/>
        <w:left w:val="none" w:sz="0" w:space="0" w:color="auto"/>
        <w:bottom w:val="none" w:sz="0" w:space="0" w:color="auto"/>
        <w:right w:val="none" w:sz="0" w:space="0" w:color="auto"/>
      </w:divBdr>
    </w:div>
    <w:div w:id="767778405">
      <w:bodyDiv w:val="1"/>
      <w:marLeft w:val="0"/>
      <w:marRight w:val="0"/>
      <w:marTop w:val="0"/>
      <w:marBottom w:val="0"/>
      <w:divBdr>
        <w:top w:val="none" w:sz="0" w:space="0" w:color="auto"/>
        <w:left w:val="none" w:sz="0" w:space="0" w:color="auto"/>
        <w:bottom w:val="none" w:sz="0" w:space="0" w:color="auto"/>
        <w:right w:val="none" w:sz="0" w:space="0" w:color="auto"/>
      </w:divBdr>
    </w:div>
    <w:div w:id="782379616">
      <w:bodyDiv w:val="1"/>
      <w:marLeft w:val="0"/>
      <w:marRight w:val="0"/>
      <w:marTop w:val="0"/>
      <w:marBottom w:val="0"/>
      <w:divBdr>
        <w:top w:val="none" w:sz="0" w:space="0" w:color="auto"/>
        <w:left w:val="none" w:sz="0" w:space="0" w:color="auto"/>
        <w:bottom w:val="none" w:sz="0" w:space="0" w:color="auto"/>
        <w:right w:val="none" w:sz="0" w:space="0" w:color="auto"/>
      </w:divBdr>
    </w:div>
    <w:div w:id="792669700">
      <w:bodyDiv w:val="1"/>
      <w:marLeft w:val="0"/>
      <w:marRight w:val="0"/>
      <w:marTop w:val="0"/>
      <w:marBottom w:val="0"/>
      <w:divBdr>
        <w:top w:val="none" w:sz="0" w:space="0" w:color="auto"/>
        <w:left w:val="none" w:sz="0" w:space="0" w:color="auto"/>
        <w:bottom w:val="none" w:sz="0" w:space="0" w:color="auto"/>
        <w:right w:val="none" w:sz="0" w:space="0" w:color="auto"/>
      </w:divBdr>
    </w:div>
    <w:div w:id="793988655">
      <w:bodyDiv w:val="1"/>
      <w:marLeft w:val="0"/>
      <w:marRight w:val="0"/>
      <w:marTop w:val="0"/>
      <w:marBottom w:val="0"/>
      <w:divBdr>
        <w:top w:val="none" w:sz="0" w:space="0" w:color="auto"/>
        <w:left w:val="none" w:sz="0" w:space="0" w:color="auto"/>
        <w:bottom w:val="none" w:sz="0" w:space="0" w:color="auto"/>
        <w:right w:val="none" w:sz="0" w:space="0" w:color="auto"/>
      </w:divBdr>
    </w:div>
    <w:div w:id="851191224">
      <w:bodyDiv w:val="1"/>
      <w:marLeft w:val="0"/>
      <w:marRight w:val="0"/>
      <w:marTop w:val="0"/>
      <w:marBottom w:val="0"/>
      <w:divBdr>
        <w:top w:val="none" w:sz="0" w:space="0" w:color="auto"/>
        <w:left w:val="none" w:sz="0" w:space="0" w:color="auto"/>
        <w:bottom w:val="none" w:sz="0" w:space="0" w:color="auto"/>
        <w:right w:val="none" w:sz="0" w:space="0" w:color="auto"/>
      </w:divBdr>
    </w:div>
    <w:div w:id="900602707">
      <w:bodyDiv w:val="1"/>
      <w:marLeft w:val="0"/>
      <w:marRight w:val="0"/>
      <w:marTop w:val="0"/>
      <w:marBottom w:val="0"/>
      <w:divBdr>
        <w:top w:val="none" w:sz="0" w:space="0" w:color="auto"/>
        <w:left w:val="none" w:sz="0" w:space="0" w:color="auto"/>
        <w:bottom w:val="none" w:sz="0" w:space="0" w:color="auto"/>
        <w:right w:val="none" w:sz="0" w:space="0" w:color="auto"/>
      </w:divBdr>
    </w:div>
    <w:div w:id="910578334">
      <w:bodyDiv w:val="1"/>
      <w:marLeft w:val="0"/>
      <w:marRight w:val="0"/>
      <w:marTop w:val="0"/>
      <w:marBottom w:val="0"/>
      <w:divBdr>
        <w:top w:val="none" w:sz="0" w:space="0" w:color="auto"/>
        <w:left w:val="none" w:sz="0" w:space="0" w:color="auto"/>
        <w:bottom w:val="none" w:sz="0" w:space="0" w:color="auto"/>
        <w:right w:val="none" w:sz="0" w:space="0" w:color="auto"/>
      </w:divBdr>
    </w:div>
    <w:div w:id="923805103">
      <w:bodyDiv w:val="1"/>
      <w:marLeft w:val="0"/>
      <w:marRight w:val="0"/>
      <w:marTop w:val="0"/>
      <w:marBottom w:val="0"/>
      <w:divBdr>
        <w:top w:val="none" w:sz="0" w:space="0" w:color="auto"/>
        <w:left w:val="none" w:sz="0" w:space="0" w:color="auto"/>
        <w:bottom w:val="none" w:sz="0" w:space="0" w:color="auto"/>
        <w:right w:val="none" w:sz="0" w:space="0" w:color="auto"/>
      </w:divBdr>
    </w:div>
    <w:div w:id="941761491">
      <w:bodyDiv w:val="1"/>
      <w:marLeft w:val="0"/>
      <w:marRight w:val="0"/>
      <w:marTop w:val="0"/>
      <w:marBottom w:val="0"/>
      <w:divBdr>
        <w:top w:val="none" w:sz="0" w:space="0" w:color="auto"/>
        <w:left w:val="none" w:sz="0" w:space="0" w:color="auto"/>
        <w:bottom w:val="none" w:sz="0" w:space="0" w:color="auto"/>
        <w:right w:val="none" w:sz="0" w:space="0" w:color="auto"/>
      </w:divBdr>
    </w:div>
    <w:div w:id="1007371419">
      <w:bodyDiv w:val="1"/>
      <w:marLeft w:val="0"/>
      <w:marRight w:val="0"/>
      <w:marTop w:val="0"/>
      <w:marBottom w:val="0"/>
      <w:divBdr>
        <w:top w:val="none" w:sz="0" w:space="0" w:color="auto"/>
        <w:left w:val="none" w:sz="0" w:space="0" w:color="auto"/>
        <w:bottom w:val="none" w:sz="0" w:space="0" w:color="auto"/>
        <w:right w:val="none" w:sz="0" w:space="0" w:color="auto"/>
      </w:divBdr>
    </w:div>
    <w:div w:id="1018194612">
      <w:bodyDiv w:val="1"/>
      <w:marLeft w:val="0"/>
      <w:marRight w:val="0"/>
      <w:marTop w:val="0"/>
      <w:marBottom w:val="0"/>
      <w:divBdr>
        <w:top w:val="none" w:sz="0" w:space="0" w:color="auto"/>
        <w:left w:val="none" w:sz="0" w:space="0" w:color="auto"/>
        <w:bottom w:val="none" w:sz="0" w:space="0" w:color="auto"/>
        <w:right w:val="none" w:sz="0" w:space="0" w:color="auto"/>
      </w:divBdr>
    </w:div>
    <w:div w:id="1018385140">
      <w:bodyDiv w:val="1"/>
      <w:marLeft w:val="0"/>
      <w:marRight w:val="0"/>
      <w:marTop w:val="0"/>
      <w:marBottom w:val="0"/>
      <w:divBdr>
        <w:top w:val="none" w:sz="0" w:space="0" w:color="auto"/>
        <w:left w:val="none" w:sz="0" w:space="0" w:color="auto"/>
        <w:bottom w:val="none" w:sz="0" w:space="0" w:color="auto"/>
        <w:right w:val="none" w:sz="0" w:space="0" w:color="auto"/>
      </w:divBdr>
      <w:divsChild>
        <w:div w:id="1987707852">
          <w:marLeft w:val="0"/>
          <w:marRight w:val="0"/>
          <w:marTop w:val="0"/>
          <w:marBottom w:val="0"/>
          <w:divBdr>
            <w:top w:val="none" w:sz="0" w:space="0" w:color="auto"/>
            <w:left w:val="none" w:sz="0" w:space="0" w:color="auto"/>
            <w:bottom w:val="none" w:sz="0" w:space="0" w:color="auto"/>
            <w:right w:val="none" w:sz="0" w:space="0" w:color="auto"/>
          </w:divBdr>
          <w:divsChild>
            <w:div w:id="863061423">
              <w:marLeft w:val="0"/>
              <w:marRight w:val="0"/>
              <w:marTop w:val="0"/>
              <w:marBottom w:val="0"/>
              <w:divBdr>
                <w:top w:val="none" w:sz="0" w:space="0" w:color="auto"/>
                <w:left w:val="none" w:sz="0" w:space="0" w:color="auto"/>
                <w:bottom w:val="none" w:sz="0" w:space="0" w:color="auto"/>
                <w:right w:val="none" w:sz="0" w:space="0" w:color="auto"/>
              </w:divBdr>
              <w:divsChild>
                <w:div w:id="602767060">
                  <w:marLeft w:val="0"/>
                  <w:marRight w:val="0"/>
                  <w:marTop w:val="0"/>
                  <w:marBottom w:val="0"/>
                  <w:divBdr>
                    <w:top w:val="none" w:sz="0" w:space="0" w:color="auto"/>
                    <w:left w:val="none" w:sz="0" w:space="0" w:color="auto"/>
                    <w:bottom w:val="none" w:sz="0" w:space="0" w:color="auto"/>
                    <w:right w:val="none" w:sz="0" w:space="0" w:color="auto"/>
                  </w:divBdr>
                  <w:divsChild>
                    <w:div w:id="3746880">
                      <w:marLeft w:val="0"/>
                      <w:marRight w:val="0"/>
                      <w:marTop w:val="0"/>
                      <w:marBottom w:val="0"/>
                      <w:divBdr>
                        <w:top w:val="none" w:sz="0" w:space="0" w:color="auto"/>
                        <w:left w:val="none" w:sz="0" w:space="0" w:color="auto"/>
                        <w:bottom w:val="none" w:sz="0" w:space="0" w:color="auto"/>
                        <w:right w:val="none" w:sz="0" w:space="0" w:color="auto"/>
                      </w:divBdr>
                      <w:divsChild>
                        <w:div w:id="1803187765">
                          <w:marLeft w:val="0"/>
                          <w:marRight w:val="0"/>
                          <w:marTop w:val="0"/>
                          <w:marBottom w:val="0"/>
                          <w:divBdr>
                            <w:top w:val="none" w:sz="0" w:space="0" w:color="auto"/>
                            <w:left w:val="none" w:sz="0" w:space="0" w:color="auto"/>
                            <w:bottom w:val="none" w:sz="0" w:space="0" w:color="auto"/>
                            <w:right w:val="none" w:sz="0" w:space="0" w:color="auto"/>
                          </w:divBdr>
                          <w:divsChild>
                            <w:div w:id="70321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579978">
                      <w:marLeft w:val="0"/>
                      <w:marRight w:val="0"/>
                      <w:marTop w:val="0"/>
                      <w:marBottom w:val="0"/>
                      <w:divBdr>
                        <w:top w:val="none" w:sz="0" w:space="0" w:color="auto"/>
                        <w:left w:val="none" w:sz="0" w:space="0" w:color="auto"/>
                        <w:bottom w:val="none" w:sz="0" w:space="0" w:color="auto"/>
                        <w:right w:val="none" w:sz="0" w:space="0" w:color="auto"/>
                      </w:divBdr>
                      <w:divsChild>
                        <w:div w:id="159740835">
                          <w:marLeft w:val="0"/>
                          <w:marRight w:val="0"/>
                          <w:marTop w:val="0"/>
                          <w:marBottom w:val="0"/>
                          <w:divBdr>
                            <w:top w:val="none" w:sz="0" w:space="0" w:color="auto"/>
                            <w:left w:val="none" w:sz="0" w:space="0" w:color="auto"/>
                            <w:bottom w:val="none" w:sz="0" w:space="0" w:color="auto"/>
                            <w:right w:val="none" w:sz="0" w:space="0" w:color="auto"/>
                          </w:divBdr>
                          <w:divsChild>
                            <w:div w:id="623196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122318">
                      <w:marLeft w:val="0"/>
                      <w:marRight w:val="0"/>
                      <w:marTop w:val="0"/>
                      <w:marBottom w:val="0"/>
                      <w:divBdr>
                        <w:top w:val="none" w:sz="0" w:space="0" w:color="auto"/>
                        <w:left w:val="none" w:sz="0" w:space="0" w:color="auto"/>
                        <w:bottom w:val="none" w:sz="0" w:space="0" w:color="auto"/>
                        <w:right w:val="none" w:sz="0" w:space="0" w:color="auto"/>
                      </w:divBdr>
                      <w:divsChild>
                        <w:div w:id="596255273">
                          <w:marLeft w:val="0"/>
                          <w:marRight w:val="0"/>
                          <w:marTop w:val="0"/>
                          <w:marBottom w:val="0"/>
                          <w:divBdr>
                            <w:top w:val="none" w:sz="0" w:space="0" w:color="auto"/>
                            <w:left w:val="none" w:sz="0" w:space="0" w:color="auto"/>
                            <w:bottom w:val="none" w:sz="0" w:space="0" w:color="auto"/>
                            <w:right w:val="none" w:sz="0" w:space="0" w:color="auto"/>
                          </w:divBdr>
                          <w:divsChild>
                            <w:div w:id="98463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7560174">
      <w:bodyDiv w:val="1"/>
      <w:marLeft w:val="0"/>
      <w:marRight w:val="0"/>
      <w:marTop w:val="0"/>
      <w:marBottom w:val="0"/>
      <w:divBdr>
        <w:top w:val="none" w:sz="0" w:space="0" w:color="auto"/>
        <w:left w:val="none" w:sz="0" w:space="0" w:color="auto"/>
        <w:bottom w:val="none" w:sz="0" w:space="0" w:color="auto"/>
        <w:right w:val="none" w:sz="0" w:space="0" w:color="auto"/>
      </w:divBdr>
    </w:div>
    <w:div w:id="1104879659">
      <w:bodyDiv w:val="1"/>
      <w:marLeft w:val="0"/>
      <w:marRight w:val="0"/>
      <w:marTop w:val="0"/>
      <w:marBottom w:val="0"/>
      <w:divBdr>
        <w:top w:val="none" w:sz="0" w:space="0" w:color="auto"/>
        <w:left w:val="none" w:sz="0" w:space="0" w:color="auto"/>
        <w:bottom w:val="none" w:sz="0" w:space="0" w:color="auto"/>
        <w:right w:val="none" w:sz="0" w:space="0" w:color="auto"/>
      </w:divBdr>
    </w:div>
    <w:div w:id="1119102165">
      <w:bodyDiv w:val="1"/>
      <w:marLeft w:val="0"/>
      <w:marRight w:val="0"/>
      <w:marTop w:val="0"/>
      <w:marBottom w:val="0"/>
      <w:divBdr>
        <w:top w:val="none" w:sz="0" w:space="0" w:color="auto"/>
        <w:left w:val="none" w:sz="0" w:space="0" w:color="auto"/>
        <w:bottom w:val="none" w:sz="0" w:space="0" w:color="auto"/>
        <w:right w:val="none" w:sz="0" w:space="0" w:color="auto"/>
      </w:divBdr>
    </w:div>
    <w:div w:id="1119644919">
      <w:bodyDiv w:val="1"/>
      <w:marLeft w:val="0"/>
      <w:marRight w:val="0"/>
      <w:marTop w:val="0"/>
      <w:marBottom w:val="0"/>
      <w:divBdr>
        <w:top w:val="none" w:sz="0" w:space="0" w:color="auto"/>
        <w:left w:val="none" w:sz="0" w:space="0" w:color="auto"/>
        <w:bottom w:val="none" w:sz="0" w:space="0" w:color="auto"/>
        <w:right w:val="none" w:sz="0" w:space="0" w:color="auto"/>
      </w:divBdr>
    </w:div>
    <w:div w:id="1144011484">
      <w:bodyDiv w:val="1"/>
      <w:marLeft w:val="0"/>
      <w:marRight w:val="0"/>
      <w:marTop w:val="0"/>
      <w:marBottom w:val="0"/>
      <w:divBdr>
        <w:top w:val="none" w:sz="0" w:space="0" w:color="auto"/>
        <w:left w:val="none" w:sz="0" w:space="0" w:color="auto"/>
        <w:bottom w:val="none" w:sz="0" w:space="0" w:color="auto"/>
        <w:right w:val="none" w:sz="0" w:space="0" w:color="auto"/>
      </w:divBdr>
    </w:div>
    <w:div w:id="1154570739">
      <w:bodyDiv w:val="1"/>
      <w:marLeft w:val="0"/>
      <w:marRight w:val="0"/>
      <w:marTop w:val="0"/>
      <w:marBottom w:val="0"/>
      <w:divBdr>
        <w:top w:val="none" w:sz="0" w:space="0" w:color="auto"/>
        <w:left w:val="none" w:sz="0" w:space="0" w:color="auto"/>
        <w:bottom w:val="none" w:sz="0" w:space="0" w:color="auto"/>
        <w:right w:val="none" w:sz="0" w:space="0" w:color="auto"/>
      </w:divBdr>
    </w:div>
    <w:div w:id="1184973832">
      <w:bodyDiv w:val="1"/>
      <w:marLeft w:val="0"/>
      <w:marRight w:val="0"/>
      <w:marTop w:val="0"/>
      <w:marBottom w:val="0"/>
      <w:divBdr>
        <w:top w:val="none" w:sz="0" w:space="0" w:color="auto"/>
        <w:left w:val="none" w:sz="0" w:space="0" w:color="auto"/>
        <w:bottom w:val="none" w:sz="0" w:space="0" w:color="auto"/>
        <w:right w:val="none" w:sz="0" w:space="0" w:color="auto"/>
      </w:divBdr>
    </w:div>
    <w:div w:id="1207327224">
      <w:bodyDiv w:val="1"/>
      <w:marLeft w:val="0"/>
      <w:marRight w:val="0"/>
      <w:marTop w:val="0"/>
      <w:marBottom w:val="0"/>
      <w:divBdr>
        <w:top w:val="none" w:sz="0" w:space="0" w:color="auto"/>
        <w:left w:val="none" w:sz="0" w:space="0" w:color="auto"/>
        <w:bottom w:val="none" w:sz="0" w:space="0" w:color="auto"/>
        <w:right w:val="none" w:sz="0" w:space="0" w:color="auto"/>
      </w:divBdr>
    </w:div>
    <w:div w:id="1211184079">
      <w:bodyDiv w:val="1"/>
      <w:marLeft w:val="0"/>
      <w:marRight w:val="0"/>
      <w:marTop w:val="0"/>
      <w:marBottom w:val="0"/>
      <w:divBdr>
        <w:top w:val="none" w:sz="0" w:space="0" w:color="auto"/>
        <w:left w:val="none" w:sz="0" w:space="0" w:color="auto"/>
        <w:bottom w:val="none" w:sz="0" w:space="0" w:color="auto"/>
        <w:right w:val="none" w:sz="0" w:space="0" w:color="auto"/>
      </w:divBdr>
    </w:div>
    <w:div w:id="1242906036">
      <w:bodyDiv w:val="1"/>
      <w:marLeft w:val="0"/>
      <w:marRight w:val="0"/>
      <w:marTop w:val="0"/>
      <w:marBottom w:val="0"/>
      <w:divBdr>
        <w:top w:val="none" w:sz="0" w:space="0" w:color="auto"/>
        <w:left w:val="none" w:sz="0" w:space="0" w:color="auto"/>
        <w:bottom w:val="none" w:sz="0" w:space="0" w:color="auto"/>
        <w:right w:val="none" w:sz="0" w:space="0" w:color="auto"/>
      </w:divBdr>
    </w:div>
    <w:div w:id="1279727088">
      <w:bodyDiv w:val="1"/>
      <w:marLeft w:val="0"/>
      <w:marRight w:val="0"/>
      <w:marTop w:val="0"/>
      <w:marBottom w:val="0"/>
      <w:divBdr>
        <w:top w:val="none" w:sz="0" w:space="0" w:color="auto"/>
        <w:left w:val="none" w:sz="0" w:space="0" w:color="auto"/>
        <w:bottom w:val="none" w:sz="0" w:space="0" w:color="auto"/>
        <w:right w:val="none" w:sz="0" w:space="0" w:color="auto"/>
      </w:divBdr>
    </w:div>
    <w:div w:id="1292980077">
      <w:bodyDiv w:val="1"/>
      <w:marLeft w:val="0"/>
      <w:marRight w:val="0"/>
      <w:marTop w:val="0"/>
      <w:marBottom w:val="0"/>
      <w:divBdr>
        <w:top w:val="none" w:sz="0" w:space="0" w:color="auto"/>
        <w:left w:val="none" w:sz="0" w:space="0" w:color="auto"/>
        <w:bottom w:val="none" w:sz="0" w:space="0" w:color="auto"/>
        <w:right w:val="none" w:sz="0" w:space="0" w:color="auto"/>
      </w:divBdr>
    </w:div>
    <w:div w:id="1297373353">
      <w:bodyDiv w:val="1"/>
      <w:marLeft w:val="0"/>
      <w:marRight w:val="0"/>
      <w:marTop w:val="0"/>
      <w:marBottom w:val="0"/>
      <w:divBdr>
        <w:top w:val="none" w:sz="0" w:space="0" w:color="auto"/>
        <w:left w:val="none" w:sz="0" w:space="0" w:color="auto"/>
        <w:bottom w:val="none" w:sz="0" w:space="0" w:color="auto"/>
        <w:right w:val="none" w:sz="0" w:space="0" w:color="auto"/>
      </w:divBdr>
    </w:div>
    <w:div w:id="1309673415">
      <w:bodyDiv w:val="1"/>
      <w:marLeft w:val="0"/>
      <w:marRight w:val="0"/>
      <w:marTop w:val="0"/>
      <w:marBottom w:val="0"/>
      <w:divBdr>
        <w:top w:val="none" w:sz="0" w:space="0" w:color="auto"/>
        <w:left w:val="none" w:sz="0" w:space="0" w:color="auto"/>
        <w:bottom w:val="none" w:sz="0" w:space="0" w:color="auto"/>
        <w:right w:val="none" w:sz="0" w:space="0" w:color="auto"/>
      </w:divBdr>
    </w:div>
    <w:div w:id="1332947307">
      <w:bodyDiv w:val="1"/>
      <w:marLeft w:val="0"/>
      <w:marRight w:val="0"/>
      <w:marTop w:val="0"/>
      <w:marBottom w:val="0"/>
      <w:divBdr>
        <w:top w:val="none" w:sz="0" w:space="0" w:color="auto"/>
        <w:left w:val="none" w:sz="0" w:space="0" w:color="auto"/>
        <w:bottom w:val="none" w:sz="0" w:space="0" w:color="auto"/>
        <w:right w:val="none" w:sz="0" w:space="0" w:color="auto"/>
      </w:divBdr>
    </w:div>
    <w:div w:id="1333024441">
      <w:bodyDiv w:val="1"/>
      <w:marLeft w:val="0"/>
      <w:marRight w:val="0"/>
      <w:marTop w:val="0"/>
      <w:marBottom w:val="0"/>
      <w:divBdr>
        <w:top w:val="none" w:sz="0" w:space="0" w:color="auto"/>
        <w:left w:val="none" w:sz="0" w:space="0" w:color="auto"/>
        <w:bottom w:val="none" w:sz="0" w:space="0" w:color="auto"/>
        <w:right w:val="none" w:sz="0" w:space="0" w:color="auto"/>
      </w:divBdr>
    </w:div>
    <w:div w:id="1340154584">
      <w:bodyDiv w:val="1"/>
      <w:marLeft w:val="0"/>
      <w:marRight w:val="0"/>
      <w:marTop w:val="0"/>
      <w:marBottom w:val="0"/>
      <w:divBdr>
        <w:top w:val="none" w:sz="0" w:space="0" w:color="auto"/>
        <w:left w:val="none" w:sz="0" w:space="0" w:color="auto"/>
        <w:bottom w:val="none" w:sz="0" w:space="0" w:color="auto"/>
        <w:right w:val="none" w:sz="0" w:space="0" w:color="auto"/>
      </w:divBdr>
    </w:div>
    <w:div w:id="1387878237">
      <w:bodyDiv w:val="1"/>
      <w:marLeft w:val="0"/>
      <w:marRight w:val="0"/>
      <w:marTop w:val="0"/>
      <w:marBottom w:val="0"/>
      <w:divBdr>
        <w:top w:val="none" w:sz="0" w:space="0" w:color="auto"/>
        <w:left w:val="none" w:sz="0" w:space="0" w:color="auto"/>
        <w:bottom w:val="none" w:sz="0" w:space="0" w:color="auto"/>
        <w:right w:val="none" w:sz="0" w:space="0" w:color="auto"/>
      </w:divBdr>
    </w:div>
    <w:div w:id="1395280162">
      <w:bodyDiv w:val="1"/>
      <w:marLeft w:val="0"/>
      <w:marRight w:val="0"/>
      <w:marTop w:val="0"/>
      <w:marBottom w:val="0"/>
      <w:divBdr>
        <w:top w:val="none" w:sz="0" w:space="0" w:color="auto"/>
        <w:left w:val="none" w:sz="0" w:space="0" w:color="auto"/>
        <w:bottom w:val="none" w:sz="0" w:space="0" w:color="auto"/>
        <w:right w:val="none" w:sz="0" w:space="0" w:color="auto"/>
      </w:divBdr>
    </w:div>
    <w:div w:id="1406534461">
      <w:bodyDiv w:val="1"/>
      <w:marLeft w:val="0"/>
      <w:marRight w:val="0"/>
      <w:marTop w:val="0"/>
      <w:marBottom w:val="0"/>
      <w:divBdr>
        <w:top w:val="none" w:sz="0" w:space="0" w:color="auto"/>
        <w:left w:val="none" w:sz="0" w:space="0" w:color="auto"/>
        <w:bottom w:val="none" w:sz="0" w:space="0" w:color="auto"/>
        <w:right w:val="none" w:sz="0" w:space="0" w:color="auto"/>
      </w:divBdr>
    </w:div>
    <w:div w:id="1451584741">
      <w:bodyDiv w:val="1"/>
      <w:marLeft w:val="0"/>
      <w:marRight w:val="0"/>
      <w:marTop w:val="0"/>
      <w:marBottom w:val="0"/>
      <w:divBdr>
        <w:top w:val="none" w:sz="0" w:space="0" w:color="auto"/>
        <w:left w:val="none" w:sz="0" w:space="0" w:color="auto"/>
        <w:bottom w:val="none" w:sz="0" w:space="0" w:color="auto"/>
        <w:right w:val="none" w:sz="0" w:space="0" w:color="auto"/>
      </w:divBdr>
    </w:div>
    <w:div w:id="1499998937">
      <w:bodyDiv w:val="1"/>
      <w:marLeft w:val="0"/>
      <w:marRight w:val="0"/>
      <w:marTop w:val="0"/>
      <w:marBottom w:val="0"/>
      <w:divBdr>
        <w:top w:val="none" w:sz="0" w:space="0" w:color="auto"/>
        <w:left w:val="none" w:sz="0" w:space="0" w:color="auto"/>
        <w:bottom w:val="none" w:sz="0" w:space="0" w:color="auto"/>
        <w:right w:val="none" w:sz="0" w:space="0" w:color="auto"/>
      </w:divBdr>
    </w:div>
    <w:div w:id="1515530303">
      <w:bodyDiv w:val="1"/>
      <w:marLeft w:val="0"/>
      <w:marRight w:val="0"/>
      <w:marTop w:val="0"/>
      <w:marBottom w:val="0"/>
      <w:divBdr>
        <w:top w:val="none" w:sz="0" w:space="0" w:color="auto"/>
        <w:left w:val="none" w:sz="0" w:space="0" w:color="auto"/>
        <w:bottom w:val="none" w:sz="0" w:space="0" w:color="auto"/>
        <w:right w:val="none" w:sz="0" w:space="0" w:color="auto"/>
      </w:divBdr>
    </w:div>
    <w:div w:id="1527407935">
      <w:bodyDiv w:val="1"/>
      <w:marLeft w:val="0"/>
      <w:marRight w:val="0"/>
      <w:marTop w:val="0"/>
      <w:marBottom w:val="0"/>
      <w:divBdr>
        <w:top w:val="none" w:sz="0" w:space="0" w:color="auto"/>
        <w:left w:val="none" w:sz="0" w:space="0" w:color="auto"/>
        <w:bottom w:val="none" w:sz="0" w:space="0" w:color="auto"/>
        <w:right w:val="none" w:sz="0" w:space="0" w:color="auto"/>
      </w:divBdr>
    </w:div>
    <w:div w:id="1529684280">
      <w:bodyDiv w:val="1"/>
      <w:marLeft w:val="0"/>
      <w:marRight w:val="0"/>
      <w:marTop w:val="0"/>
      <w:marBottom w:val="0"/>
      <w:divBdr>
        <w:top w:val="none" w:sz="0" w:space="0" w:color="auto"/>
        <w:left w:val="none" w:sz="0" w:space="0" w:color="auto"/>
        <w:bottom w:val="none" w:sz="0" w:space="0" w:color="auto"/>
        <w:right w:val="none" w:sz="0" w:space="0" w:color="auto"/>
      </w:divBdr>
    </w:div>
    <w:div w:id="1562667098">
      <w:bodyDiv w:val="1"/>
      <w:marLeft w:val="0"/>
      <w:marRight w:val="0"/>
      <w:marTop w:val="0"/>
      <w:marBottom w:val="0"/>
      <w:divBdr>
        <w:top w:val="none" w:sz="0" w:space="0" w:color="auto"/>
        <w:left w:val="none" w:sz="0" w:space="0" w:color="auto"/>
        <w:bottom w:val="none" w:sz="0" w:space="0" w:color="auto"/>
        <w:right w:val="none" w:sz="0" w:space="0" w:color="auto"/>
      </w:divBdr>
    </w:div>
    <w:div w:id="1569538735">
      <w:bodyDiv w:val="1"/>
      <w:marLeft w:val="0"/>
      <w:marRight w:val="0"/>
      <w:marTop w:val="0"/>
      <w:marBottom w:val="0"/>
      <w:divBdr>
        <w:top w:val="none" w:sz="0" w:space="0" w:color="auto"/>
        <w:left w:val="none" w:sz="0" w:space="0" w:color="auto"/>
        <w:bottom w:val="none" w:sz="0" w:space="0" w:color="auto"/>
        <w:right w:val="none" w:sz="0" w:space="0" w:color="auto"/>
      </w:divBdr>
    </w:div>
    <w:div w:id="1621839489">
      <w:bodyDiv w:val="1"/>
      <w:marLeft w:val="0"/>
      <w:marRight w:val="0"/>
      <w:marTop w:val="0"/>
      <w:marBottom w:val="0"/>
      <w:divBdr>
        <w:top w:val="none" w:sz="0" w:space="0" w:color="auto"/>
        <w:left w:val="none" w:sz="0" w:space="0" w:color="auto"/>
        <w:bottom w:val="none" w:sz="0" w:space="0" w:color="auto"/>
        <w:right w:val="none" w:sz="0" w:space="0" w:color="auto"/>
      </w:divBdr>
    </w:div>
    <w:div w:id="1643197338">
      <w:bodyDiv w:val="1"/>
      <w:marLeft w:val="0"/>
      <w:marRight w:val="0"/>
      <w:marTop w:val="0"/>
      <w:marBottom w:val="0"/>
      <w:divBdr>
        <w:top w:val="none" w:sz="0" w:space="0" w:color="auto"/>
        <w:left w:val="none" w:sz="0" w:space="0" w:color="auto"/>
        <w:bottom w:val="none" w:sz="0" w:space="0" w:color="auto"/>
        <w:right w:val="none" w:sz="0" w:space="0" w:color="auto"/>
      </w:divBdr>
    </w:div>
    <w:div w:id="1670205947">
      <w:bodyDiv w:val="1"/>
      <w:marLeft w:val="0"/>
      <w:marRight w:val="0"/>
      <w:marTop w:val="0"/>
      <w:marBottom w:val="0"/>
      <w:divBdr>
        <w:top w:val="none" w:sz="0" w:space="0" w:color="auto"/>
        <w:left w:val="none" w:sz="0" w:space="0" w:color="auto"/>
        <w:bottom w:val="none" w:sz="0" w:space="0" w:color="auto"/>
        <w:right w:val="none" w:sz="0" w:space="0" w:color="auto"/>
      </w:divBdr>
    </w:div>
    <w:div w:id="1696081494">
      <w:bodyDiv w:val="1"/>
      <w:marLeft w:val="0"/>
      <w:marRight w:val="0"/>
      <w:marTop w:val="0"/>
      <w:marBottom w:val="0"/>
      <w:divBdr>
        <w:top w:val="none" w:sz="0" w:space="0" w:color="auto"/>
        <w:left w:val="none" w:sz="0" w:space="0" w:color="auto"/>
        <w:bottom w:val="none" w:sz="0" w:space="0" w:color="auto"/>
        <w:right w:val="none" w:sz="0" w:space="0" w:color="auto"/>
      </w:divBdr>
    </w:div>
    <w:div w:id="1700667490">
      <w:bodyDiv w:val="1"/>
      <w:marLeft w:val="0"/>
      <w:marRight w:val="0"/>
      <w:marTop w:val="0"/>
      <w:marBottom w:val="0"/>
      <w:divBdr>
        <w:top w:val="none" w:sz="0" w:space="0" w:color="auto"/>
        <w:left w:val="none" w:sz="0" w:space="0" w:color="auto"/>
        <w:bottom w:val="none" w:sz="0" w:space="0" w:color="auto"/>
        <w:right w:val="none" w:sz="0" w:space="0" w:color="auto"/>
      </w:divBdr>
    </w:div>
    <w:div w:id="1720131485">
      <w:bodyDiv w:val="1"/>
      <w:marLeft w:val="0"/>
      <w:marRight w:val="0"/>
      <w:marTop w:val="0"/>
      <w:marBottom w:val="0"/>
      <w:divBdr>
        <w:top w:val="none" w:sz="0" w:space="0" w:color="auto"/>
        <w:left w:val="none" w:sz="0" w:space="0" w:color="auto"/>
        <w:bottom w:val="none" w:sz="0" w:space="0" w:color="auto"/>
        <w:right w:val="none" w:sz="0" w:space="0" w:color="auto"/>
      </w:divBdr>
    </w:div>
    <w:div w:id="1766998245">
      <w:bodyDiv w:val="1"/>
      <w:marLeft w:val="0"/>
      <w:marRight w:val="0"/>
      <w:marTop w:val="0"/>
      <w:marBottom w:val="0"/>
      <w:divBdr>
        <w:top w:val="none" w:sz="0" w:space="0" w:color="auto"/>
        <w:left w:val="none" w:sz="0" w:space="0" w:color="auto"/>
        <w:bottom w:val="none" w:sz="0" w:space="0" w:color="auto"/>
        <w:right w:val="none" w:sz="0" w:space="0" w:color="auto"/>
      </w:divBdr>
    </w:div>
    <w:div w:id="1774738972">
      <w:bodyDiv w:val="1"/>
      <w:marLeft w:val="0"/>
      <w:marRight w:val="0"/>
      <w:marTop w:val="0"/>
      <w:marBottom w:val="0"/>
      <w:divBdr>
        <w:top w:val="none" w:sz="0" w:space="0" w:color="auto"/>
        <w:left w:val="none" w:sz="0" w:space="0" w:color="auto"/>
        <w:bottom w:val="none" w:sz="0" w:space="0" w:color="auto"/>
        <w:right w:val="none" w:sz="0" w:space="0" w:color="auto"/>
      </w:divBdr>
    </w:div>
    <w:div w:id="1782842837">
      <w:bodyDiv w:val="1"/>
      <w:marLeft w:val="0"/>
      <w:marRight w:val="0"/>
      <w:marTop w:val="0"/>
      <w:marBottom w:val="0"/>
      <w:divBdr>
        <w:top w:val="none" w:sz="0" w:space="0" w:color="auto"/>
        <w:left w:val="none" w:sz="0" w:space="0" w:color="auto"/>
        <w:bottom w:val="none" w:sz="0" w:space="0" w:color="auto"/>
        <w:right w:val="none" w:sz="0" w:space="0" w:color="auto"/>
      </w:divBdr>
    </w:div>
    <w:div w:id="1785347575">
      <w:bodyDiv w:val="1"/>
      <w:marLeft w:val="0"/>
      <w:marRight w:val="0"/>
      <w:marTop w:val="0"/>
      <w:marBottom w:val="0"/>
      <w:divBdr>
        <w:top w:val="none" w:sz="0" w:space="0" w:color="auto"/>
        <w:left w:val="none" w:sz="0" w:space="0" w:color="auto"/>
        <w:bottom w:val="none" w:sz="0" w:space="0" w:color="auto"/>
        <w:right w:val="none" w:sz="0" w:space="0" w:color="auto"/>
      </w:divBdr>
    </w:div>
    <w:div w:id="1790733827">
      <w:bodyDiv w:val="1"/>
      <w:marLeft w:val="0"/>
      <w:marRight w:val="0"/>
      <w:marTop w:val="0"/>
      <w:marBottom w:val="0"/>
      <w:divBdr>
        <w:top w:val="none" w:sz="0" w:space="0" w:color="auto"/>
        <w:left w:val="none" w:sz="0" w:space="0" w:color="auto"/>
        <w:bottom w:val="none" w:sz="0" w:space="0" w:color="auto"/>
        <w:right w:val="none" w:sz="0" w:space="0" w:color="auto"/>
      </w:divBdr>
    </w:div>
    <w:div w:id="1822428855">
      <w:bodyDiv w:val="1"/>
      <w:marLeft w:val="0"/>
      <w:marRight w:val="0"/>
      <w:marTop w:val="0"/>
      <w:marBottom w:val="0"/>
      <w:divBdr>
        <w:top w:val="none" w:sz="0" w:space="0" w:color="auto"/>
        <w:left w:val="none" w:sz="0" w:space="0" w:color="auto"/>
        <w:bottom w:val="none" w:sz="0" w:space="0" w:color="auto"/>
        <w:right w:val="none" w:sz="0" w:space="0" w:color="auto"/>
      </w:divBdr>
    </w:div>
    <w:div w:id="1859659423">
      <w:bodyDiv w:val="1"/>
      <w:marLeft w:val="0"/>
      <w:marRight w:val="0"/>
      <w:marTop w:val="0"/>
      <w:marBottom w:val="0"/>
      <w:divBdr>
        <w:top w:val="none" w:sz="0" w:space="0" w:color="auto"/>
        <w:left w:val="none" w:sz="0" w:space="0" w:color="auto"/>
        <w:bottom w:val="none" w:sz="0" w:space="0" w:color="auto"/>
        <w:right w:val="none" w:sz="0" w:space="0" w:color="auto"/>
      </w:divBdr>
    </w:div>
    <w:div w:id="1880051738">
      <w:bodyDiv w:val="1"/>
      <w:marLeft w:val="0"/>
      <w:marRight w:val="0"/>
      <w:marTop w:val="0"/>
      <w:marBottom w:val="0"/>
      <w:divBdr>
        <w:top w:val="none" w:sz="0" w:space="0" w:color="auto"/>
        <w:left w:val="none" w:sz="0" w:space="0" w:color="auto"/>
        <w:bottom w:val="none" w:sz="0" w:space="0" w:color="auto"/>
        <w:right w:val="none" w:sz="0" w:space="0" w:color="auto"/>
      </w:divBdr>
    </w:div>
    <w:div w:id="1891304179">
      <w:bodyDiv w:val="1"/>
      <w:marLeft w:val="0"/>
      <w:marRight w:val="0"/>
      <w:marTop w:val="0"/>
      <w:marBottom w:val="0"/>
      <w:divBdr>
        <w:top w:val="none" w:sz="0" w:space="0" w:color="auto"/>
        <w:left w:val="none" w:sz="0" w:space="0" w:color="auto"/>
        <w:bottom w:val="none" w:sz="0" w:space="0" w:color="auto"/>
        <w:right w:val="none" w:sz="0" w:space="0" w:color="auto"/>
      </w:divBdr>
    </w:div>
    <w:div w:id="1929920550">
      <w:bodyDiv w:val="1"/>
      <w:marLeft w:val="0"/>
      <w:marRight w:val="0"/>
      <w:marTop w:val="0"/>
      <w:marBottom w:val="0"/>
      <w:divBdr>
        <w:top w:val="none" w:sz="0" w:space="0" w:color="auto"/>
        <w:left w:val="none" w:sz="0" w:space="0" w:color="auto"/>
        <w:bottom w:val="none" w:sz="0" w:space="0" w:color="auto"/>
        <w:right w:val="none" w:sz="0" w:space="0" w:color="auto"/>
      </w:divBdr>
    </w:div>
    <w:div w:id="1935934982">
      <w:bodyDiv w:val="1"/>
      <w:marLeft w:val="0"/>
      <w:marRight w:val="0"/>
      <w:marTop w:val="0"/>
      <w:marBottom w:val="0"/>
      <w:divBdr>
        <w:top w:val="none" w:sz="0" w:space="0" w:color="auto"/>
        <w:left w:val="none" w:sz="0" w:space="0" w:color="auto"/>
        <w:bottom w:val="none" w:sz="0" w:space="0" w:color="auto"/>
        <w:right w:val="none" w:sz="0" w:space="0" w:color="auto"/>
      </w:divBdr>
    </w:div>
    <w:div w:id="1957250603">
      <w:bodyDiv w:val="1"/>
      <w:marLeft w:val="0"/>
      <w:marRight w:val="0"/>
      <w:marTop w:val="0"/>
      <w:marBottom w:val="0"/>
      <w:divBdr>
        <w:top w:val="none" w:sz="0" w:space="0" w:color="auto"/>
        <w:left w:val="none" w:sz="0" w:space="0" w:color="auto"/>
        <w:bottom w:val="none" w:sz="0" w:space="0" w:color="auto"/>
        <w:right w:val="none" w:sz="0" w:space="0" w:color="auto"/>
      </w:divBdr>
    </w:div>
    <w:div w:id="1990555881">
      <w:bodyDiv w:val="1"/>
      <w:marLeft w:val="0"/>
      <w:marRight w:val="0"/>
      <w:marTop w:val="0"/>
      <w:marBottom w:val="0"/>
      <w:divBdr>
        <w:top w:val="none" w:sz="0" w:space="0" w:color="auto"/>
        <w:left w:val="none" w:sz="0" w:space="0" w:color="auto"/>
        <w:bottom w:val="none" w:sz="0" w:space="0" w:color="auto"/>
        <w:right w:val="none" w:sz="0" w:space="0" w:color="auto"/>
      </w:divBdr>
    </w:div>
    <w:div w:id="2037801839">
      <w:bodyDiv w:val="1"/>
      <w:marLeft w:val="0"/>
      <w:marRight w:val="0"/>
      <w:marTop w:val="0"/>
      <w:marBottom w:val="0"/>
      <w:divBdr>
        <w:top w:val="none" w:sz="0" w:space="0" w:color="auto"/>
        <w:left w:val="none" w:sz="0" w:space="0" w:color="auto"/>
        <w:bottom w:val="none" w:sz="0" w:space="0" w:color="auto"/>
        <w:right w:val="none" w:sz="0" w:space="0" w:color="auto"/>
      </w:divBdr>
    </w:div>
    <w:div w:id="2040353606">
      <w:bodyDiv w:val="1"/>
      <w:marLeft w:val="0"/>
      <w:marRight w:val="0"/>
      <w:marTop w:val="0"/>
      <w:marBottom w:val="0"/>
      <w:divBdr>
        <w:top w:val="none" w:sz="0" w:space="0" w:color="auto"/>
        <w:left w:val="none" w:sz="0" w:space="0" w:color="auto"/>
        <w:bottom w:val="none" w:sz="0" w:space="0" w:color="auto"/>
        <w:right w:val="none" w:sz="0" w:space="0" w:color="auto"/>
      </w:divBdr>
    </w:div>
    <w:div w:id="211825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hyperlink" Target="https://www.iom.int/dtm-afghanistan-baseline-mobility-assessment-summary-results-june-2017" TargetMode="External"/><Relationship Id="rId26" Type="http://schemas.openxmlformats.org/officeDocument/2006/relationships/hyperlink" Target="https://www.sheltercluster.org/sites/default/files/docs/33_swg-technicalguidelines-conditionalcashforrent-shelterwg-march2015.pdf" TargetMode="External"/><Relationship Id="rId3" Type="http://schemas.openxmlformats.org/officeDocument/2006/relationships/styles" Target="styles.xml"/><Relationship Id="rId21" Type="http://schemas.openxmlformats.org/officeDocument/2006/relationships/hyperlink" Target="http://eafghanag.ucdavis.edu/country-info/culture-and-working-locally/Man_Afghan_Culture_CWTI.pdf" TargetMode="External"/><Relationship Id="rId34" Type="http://schemas.microsoft.com/office/2016/09/relationships/commentsIds" Target="commentsId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hyperlink" Target="https://unhabitat.org/books/soac2015/" TargetMode="External"/><Relationship Id="rId25" Type="http://schemas.openxmlformats.org/officeDocument/2006/relationships/hyperlink" Target="http://www.reachresourcecentre.info/system/files/resource-documents/reach_afg_factsheet_hard_to_reach_assessment_first_quarter_april_2018_0.pdf"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cso.gov.af/Content/files/Kunarha(1).pdf" TargetMode="External"/><Relationship Id="rId20" Type="http://schemas.openxmlformats.org/officeDocument/2006/relationships/hyperlink" Target="http://afghanag.ucdavis.edu/country-info/files/afghan-culture-manual.pdf" TargetMode="External"/><Relationship Id="rId29" Type="http://schemas.openxmlformats.org/officeDocument/2006/relationships/hyperlink" Target="http://www.unhcr.org/5a05b54d7.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yperlink" Target="http://www.ohchr.org/Documents/Publications/FS21_rev_1_Housing_en.pdf"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so.gov.af/Content/files/nangarhar(1).pdf" TargetMode="External"/><Relationship Id="rId23" Type="http://schemas.openxmlformats.org/officeDocument/2006/relationships/hyperlink" Target="https://www.odi.org/events/4542-urban-humanitarian-response-challenges-and-opportunities" TargetMode="External"/><Relationship Id="rId28" Type="http://schemas.openxmlformats.org/officeDocument/2006/relationships/hyperlink" Target="https://unhabitat.org/books/afghanistan-housing-profile/" TargetMode="External"/><Relationship Id="rId10" Type="http://schemas.openxmlformats.org/officeDocument/2006/relationships/chart" Target="charts/chart1.xml"/><Relationship Id="rId19" Type="http://schemas.openxmlformats.org/officeDocument/2006/relationships/hyperlink" Target="http://www.cashlearning.org/downloads/calp-misma-en-web.pdf"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5.xml"/><Relationship Id="rId22" Type="http://schemas.openxmlformats.org/officeDocument/2006/relationships/hyperlink" Target="https://www.nrc.no/globalassets/pdf/reports/af_civil-documentation-study_081116.pdf" TargetMode="External"/><Relationship Id="rId27" Type="http://schemas.openxmlformats.org/officeDocument/2006/relationships/hyperlink" Target="https://www.sheltercluster.org/sites/default/files/docs/recommendations_on_cash_for_rent.pdf" TargetMode="External"/><Relationship Id="rId30" Type="http://schemas.openxmlformats.org/officeDocument/2006/relationships/hyperlink" Target="http://www.cashlearning.org/downloads/mpg-toolkit-pdfs/mpg-full.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cso.gov.af/Content/files/nangarhar(1).pdf"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elifor02\Desktop\NRC%20Afghanistan%20Shelter%20Market%20Assessment\Shelter_Assessment_HH%20workfile%20v3.91.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elifor02\Desktop\NRC%20Afghanistan%20Shelter%20Market%20Assessment\Shelter_Assessment_HH%20workfile%20v3.91.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elifor02\Desktop\NRC%20Afghanistan%20Shelter%20Market%20Assessment\Shelter_Assessment_HH%20workfile%20v3.92.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elifor02\Desktop\NRC%20Afghanistan%20Shelter%20Market%20Assessment\Shelter_Assessment_HH%20workfile%20v3.92.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elifor02\Desktop\NRC%20Afghanistan%20Shelter%20Market%20Assessment\Shelter_Assessment_HH%20workfile%20v3.91.xlsx" TargetMode="Externa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t>Difficulties fiding accomodation</a:t>
            </a:r>
          </a:p>
        </c:rich>
      </c:tx>
      <c:layout>
        <c:manualLayout>
          <c:xMode val="edge"/>
          <c:yMode val="edge"/>
          <c:x val="0.27509011373578302"/>
          <c:y val="5.555555555555555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Analysis10!$B$167</c:f>
              <c:strCache>
                <c:ptCount val="1"/>
                <c:pt idx="0">
                  <c:v>Difficulties fiding accomodation</c:v>
                </c:pt>
              </c:strCache>
            </c:strRef>
          </c:tx>
          <c:spPr>
            <a:solidFill>
              <a:schemeClr val="accent1"/>
            </a:solidFill>
            <a:ln>
              <a:noFill/>
            </a:ln>
            <a:effectLst/>
          </c:spPr>
          <c:invertIfNegative val="0"/>
          <c:dPt>
            <c:idx val="4"/>
            <c:invertIfNegative val="0"/>
            <c:bubble3D val="0"/>
            <c:spPr>
              <a:solidFill>
                <a:schemeClr val="accent4">
                  <a:lumMod val="60000"/>
                  <a:lumOff val="40000"/>
                </a:schemeClr>
              </a:solidFill>
              <a:ln>
                <a:noFill/>
              </a:ln>
              <a:effectLst/>
            </c:spPr>
            <c:extLst>
              <c:ext xmlns:c16="http://schemas.microsoft.com/office/drawing/2014/chart" uri="{C3380CC4-5D6E-409C-BE32-E72D297353CC}">
                <c16:uniqueId val="{00000002-D908-496D-B7AD-E9EEC9B40878}"/>
              </c:ext>
            </c:extLst>
          </c:dPt>
          <c:dPt>
            <c:idx val="5"/>
            <c:invertIfNegative val="0"/>
            <c:bubble3D val="0"/>
            <c:spPr>
              <a:solidFill>
                <a:schemeClr val="accent4">
                  <a:lumMod val="60000"/>
                  <a:lumOff val="40000"/>
                </a:schemeClr>
              </a:solidFill>
              <a:ln>
                <a:noFill/>
              </a:ln>
              <a:effectLst/>
            </c:spPr>
            <c:extLst>
              <c:ext xmlns:c16="http://schemas.microsoft.com/office/drawing/2014/chart" uri="{C3380CC4-5D6E-409C-BE32-E72D297353CC}">
                <c16:uniqueId val="{00000003-D908-496D-B7AD-E9EEC9B40878}"/>
              </c:ext>
            </c:extLst>
          </c:dPt>
          <c:dPt>
            <c:idx val="7"/>
            <c:invertIfNegative val="0"/>
            <c:bubble3D val="0"/>
            <c:spPr>
              <a:solidFill>
                <a:schemeClr val="accent4">
                  <a:lumMod val="75000"/>
                </a:schemeClr>
              </a:solidFill>
              <a:ln>
                <a:noFill/>
              </a:ln>
              <a:effectLst/>
            </c:spPr>
            <c:extLst>
              <c:ext xmlns:c16="http://schemas.microsoft.com/office/drawing/2014/chart" uri="{C3380CC4-5D6E-409C-BE32-E72D297353CC}">
                <c16:uniqueId val="{00000004-D908-496D-B7AD-E9EEC9B40878}"/>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Analysis10!$A$168:$A$175</c:f>
              <c:strCache>
                <c:ptCount val="8"/>
                <c:pt idx="0">
                  <c:v>Rural</c:v>
                </c:pt>
                <c:pt idx="1">
                  <c:v>Semi-urban</c:v>
                </c:pt>
                <c:pt idx="2">
                  <c:v>Urban</c:v>
                </c:pt>
                <c:pt idx="4">
                  <c:v>Hard-to Reach areas </c:v>
                </c:pt>
                <c:pt idx="5">
                  <c:v>not Hard-to Reach areas </c:v>
                </c:pt>
                <c:pt idx="7">
                  <c:v>Average </c:v>
                </c:pt>
              </c:strCache>
            </c:strRef>
          </c:cat>
          <c:val>
            <c:numRef>
              <c:f>Analysis10!$B$168:$B$175</c:f>
              <c:numCache>
                <c:formatCode>0.0%</c:formatCode>
                <c:ptCount val="8"/>
                <c:pt idx="0">
                  <c:v>0.28125</c:v>
                </c:pt>
                <c:pt idx="1">
                  <c:v>0.3105590062111801</c:v>
                </c:pt>
                <c:pt idx="2">
                  <c:v>0.3473684210526316</c:v>
                </c:pt>
                <c:pt idx="4">
                  <c:v>0.36036036036036034</c:v>
                </c:pt>
                <c:pt idx="5">
                  <c:v>0.2893772893772894</c:v>
                </c:pt>
                <c:pt idx="7">
                  <c:v>0.30989583333333331</c:v>
                </c:pt>
              </c:numCache>
            </c:numRef>
          </c:val>
          <c:extLst>
            <c:ext xmlns:c16="http://schemas.microsoft.com/office/drawing/2014/chart" uri="{C3380CC4-5D6E-409C-BE32-E72D297353CC}">
              <c16:uniqueId val="{00000000-D908-496D-B7AD-E9EEC9B40878}"/>
            </c:ext>
          </c:extLst>
        </c:ser>
        <c:dLbls>
          <c:showLegendKey val="0"/>
          <c:showVal val="0"/>
          <c:showCatName val="0"/>
          <c:showSerName val="0"/>
          <c:showPercent val="0"/>
          <c:showBubbleSize val="0"/>
        </c:dLbls>
        <c:gapWidth val="219"/>
        <c:overlap val="-27"/>
        <c:axId val="562300392"/>
        <c:axId val="573411544"/>
      </c:barChart>
      <c:catAx>
        <c:axId val="562300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73411544"/>
        <c:crosses val="autoZero"/>
        <c:auto val="1"/>
        <c:lblAlgn val="ctr"/>
        <c:lblOffset val="100"/>
        <c:noMultiLvlLbl val="0"/>
      </c:catAx>
      <c:valAx>
        <c:axId val="57341154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2300392"/>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Security of</a:t>
            </a:r>
            <a:r>
              <a:rPr lang="en-GB" baseline="0"/>
              <a:t> tenure in different markets</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percentStacked"/>
        <c:varyColors val="0"/>
        <c:ser>
          <c:idx val="0"/>
          <c:order val="0"/>
          <c:tx>
            <c:strRef>
              <c:f>'Joint analysis'!$Q$7</c:f>
              <c:strCache>
                <c:ptCount val="1"/>
                <c:pt idx="0">
                  <c:v>Formal agreement </c:v>
                </c:pt>
              </c:strCache>
            </c:strRef>
          </c:tx>
          <c:spPr>
            <a:solidFill>
              <a:schemeClr val="accent1"/>
            </a:solidFill>
            <a:ln>
              <a:noFill/>
            </a:ln>
            <a:effectLst/>
          </c:spPr>
          <c:invertIfNegative val="0"/>
          <c:cat>
            <c:strRef>
              <c:f>'Joint analysis'!$S$6:$AH$6</c:f>
              <c:strCache>
                <c:ptCount val="16"/>
                <c:pt idx="0">
                  <c:v>Rural </c:v>
                </c:pt>
                <c:pt idx="1">
                  <c:v>Semi-urban</c:v>
                </c:pt>
                <c:pt idx="2">
                  <c:v>Urban</c:v>
                </c:pt>
                <c:pt idx="4">
                  <c:v>Jalalabad urban area - key informants</c:v>
                </c:pt>
                <c:pt idx="6">
                  <c:v>JAA urban area </c:v>
                </c:pt>
                <c:pt idx="7">
                  <c:v>Jalalabad</c:v>
                </c:pt>
                <c:pt idx="8">
                  <c:v>Behsud</c:v>
                </c:pt>
                <c:pt idx="9">
                  <c:v>Surkhrod</c:v>
                </c:pt>
                <c:pt idx="10">
                  <c:v>Chamtala</c:v>
                </c:pt>
                <c:pt idx="11">
                  <c:v>Kabul camp</c:v>
                </c:pt>
                <c:pt idx="12">
                  <c:v>Bar Shegi (Kunar)</c:v>
                </c:pt>
                <c:pt idx="13">
                  <c:v>Harchar (Mehtarlam)</c:v>
                </c:pt>
                <c:pt idx="15">
                  <c:v>Average</c:v>
                </c:pt>
              </c:strCache>
            </c:strRef>
          </c:cat>
          <c:val>
            <c:numRef>
              <c:f>'Joint analysis'!$S$7:$AH$7</c:f>
              <c:numCache>
                <c:formatCode>0.00%</c:formatCode>
                <c:ptCount val="16"/>
                <c:pt idx="0">
                  <c:v>0.19921875</c:v>
                </c:pt>
                <c:pt idx="1">
                  <c:v>0.31677018633540371</c:v>
                </c:pt>
                <c:pt idx="2">
                  <c:v>0.32105263157894737</c:v>
                </c:pt>
                <c:pt idx="4">
                  <c:v>0.68</c:v>
                </c:pt>
                <c:pt idx="6" formatCode="0.0%">
                  <c:v>0.32142857142857145</c:v>
                </c:pt>
                <c:pt idx="7" formatCode="0.0%">
                  <c:v>0.35144927536231885</c:v>
                </c:pt>
                <c:pt idx="8" formatCode="0.0%">
                  <c:v>0.2975206611570248</c:v>
                </c:pt>
                <c:pt idx="9" formatCode="0.0%">
                  <c:v>0.28834355828220859</c:v>
                </c:pt>
                <c:pt idx="10" formatCode="0.0%">
                  <c:v>3.9215686274509803E-2</c:v>
                </c:pt>
                <c:pt idx="11" formatCode="0.0%">
                  <c:v>0.24166666666666667</c:v>
                </c:pt>
                <c:pt idx="12" formatCode="0.0%">
                  <c:v>0</c:v>
                </c:pt>
                <c:pt idx="13" formatCode="0.0%">
                  <c:v>0.14285714285714285</c:v>
                </c:pt>
                <c:pt idx="15" formatCode="0.0%">
                  <c:v>0.27864583333333331</c:v>
                </c:pt>
              </c:numCache>
            </c:numRef>
          </c:val>
          <c:extLst>
            <c:ext xmlns:c16="http://schemas.microsoft.com/office/drawing/2014/chart" uri="{C3380CC4-5D6E-409C-BE32-E72D297353CC}">
              <c16:uniqueId val="{00000000-143D-4FA3-A44B-E6CD2B64AB9F}"/>
            </c:ext>
          </c:extLst>
        </c:ser>
        <c:ser>
          <c:idx val="1"/>
          <c:order val="1"/>
          <c:tx>
            <c:strRef>
              <c:f>'Joint analysis'!$Q$8</c:f>
              <c:strCache>
                <c:ptCount val="1"/>
                <c:pt idx="0">
                  <c:v>Handwritten note</c:v>
                </c:pt>
              </c:strCache>
            </c:strRef>
          </c:tx>
          <c:spPr>
            <a:solidFill>
              <a:schemeClr val="accent2"/>
            </a:solidFill>
            <a:ln>
              <a:noFill/>
            </a:ln>
            <a:effectLst/>
          </c:spPr>
          <c:invertIfNegative val="0"/>
          <c:cat>
            <c:strRef>
              <c:f>'Joint analysis'!$S$6:$AH$6</c:f>
              <c:strCache>
                <c:ptCount val="16"/>
                <c:pt idx="0">
                  <c:v>Rural </c:v>
                </c:pt>
                <c:pt idx="1">
                  <c:v>Semi-urban</c:v>
                </c:pt>
                <c:pt idx="2">
                  <c:v>Urban</c:v>
                </c:pt>
                <c:pt idx="4">
                  <c:v>Jalalabad urban area - key informants</c:v>
                </c:pt>
                <c:pt idx="6">
                  <c:v>JAA urban area </c:v>
                </c:pt>
                <c:pt idx="7">
                  <c:v>Jalalabad</c:v>
                </c:pt>
                <c:pt idx="8">
                  <c:v>Behsud</c:v>
                </c:pt>
                <c:pt idx="9">
                  <c:v>Surkhrod</c:v>
                </c:pt>
                <c:pt idx="10">
                  <c:v>Chamtala</c:v>
                </c:pt>
                <c:pt idx="11">
                  <c:v>Kabul camp</c:v>
                </c:pt>
                <c:pt idx="12">
                  <c:v>Bar Shegi (Kunar)</c:v>
                </c:pt>
                <c:pt idx="13">
                  <c:v>Harchar (Mehtarlam)</c:v>
                </c:pt>
                <c:pt idx="15">
                  <c:v>Average</c:v>
                </c:pt>
              </c:strCache>
            </c:strRef>
          </c:cat>
          <c:val>
            <c:numRef>
              <c:f>'Joint analysis'!$S$8:$AH$8</c:f>
              <c:numCache>
                <c:formatCode>0.00%</c:formatCode>
                <c:ptCount val="16"/>
                <c:pt idx="0">
                  <c:v>2.34375E-2</c:v>
                </c:pt>
                <c:pt idx="1">
                  <c:v>4.0372670807453416E-2</c:v>
                </c:pt>
                <c:pt idx="2">
                  <c:v>1.0526315789473684E-2</c:v>
                </c:pt>
                <c:pt idx="4">
                  <c:v>5.3333333333333337E-2</c:v>
                </c:pt>
                <c:pt idx="6" formatCode="0.0%">
                  <c:v>2.1428571428571429E-2</c:v>
                </c:pt>
                <c:pt idx="7" formatCode="0.0%">
                  <c:v>1.0869565217391304E-2</c:v>
                </c:pt>
                <c:pt idx="8" formatCode="0.0%">
                  <c:v>4.9586776859504134E-2</c:v>
                </c:pt>
                <c:pt idx="9" formatCode="0.0%">
                  <c:v>1.8404907975460124E-2</c:v>
                </c:pt>
                <c:pt idx="10" formatCode="0.0%">
                  <c:v>0</c:v>
                </c:pt>
                <c:pt idx="11" formatCode="0.0%">
                  <c:v>7.4999999999999997E-2</c:v>
                </c:pt>
                <c:pt idx="12" formatCode="0.0%">
                  <c:v>0</c:v>
                </c:pt>
                <c:pt idx="13" formatCode="0.0%">
                  <c:v>0</c:v>
                </c:pt>
                <c:pt idx="15" formatCode="0.0%">
                  <c:v>2.734375E-2</c:v>
                </c:pt>
              </c:numCache>
            </c:numRef>
          </c:val>
          <c:extLst>
            <c:ext xmlns:c16="http://schemas.microsoft.com/office/drawing/2014/chart" uri="{C3380CC4-5D6E-409C-BE32-E72D297353CC}">
              <c16:uniqueId val="{00000001-143D-4FA3-A44B-E6CD2B64AB9F}"/>
            </c:ext>
          </c:extLst>
        </c:ser>
        <c:ser>
          <c:idx val="2"/>
          <c:order val="2"/>
          <c:tx>
            <c:strRef>
              <c:f>'Joint analysis'!$Q$9</c:f>
              <c:strCache>
                <c:ptCount val="1"/>
                <c:pt idx="0">
                  <c:v>Verbal agreement</c:v>
                </c:pt>
              </c:strCache>
            </c:strRef>
          </c:tx>
          <c:spPr>
            <a:solidFill>
              <a:schemeClr val="accent3"/>
            </a:solidFill>
            <a:ln>
              <a:noFill/>
            </a:ln>
            <a:effectLst/>
          </c:spPr>
          <c:invertIfNegative val="0"/>
          <c:cat>
            <c:strRef>
              <c:f>'Joint analysis'!$S$6:$AH$6</c:f>
              <c:strCache>
                <c:ptCount val="16"/>
                <c:pt idx="0">
                  <c:v>Rural </c:v>
                </c:pt>
                <c:pt idx="1">
                  <c:v>Semi-urban</c:v>
                </c:pt>
                <c:pt idx="2">
                  <c:v>Urban</c:v>
                </c:pt>
                <c:pt idx="4">
                  <c:v>Jalalabad urban area - key informants</c:v>
                </c:pt>
                <c:pt idx="6">
                  <c:v>JAA urban area </c:v>
                </c:pt>
                <c:pt idx="7">
                  <c:v>Jalalabad</c:v>
                </c:pt>
                <c:pt idx="8">
                  <c:v>Behsud</c:v>
                </c:pt>
                <c:pt idx="9">
                  <c:v>Surkhrod</c:v>
                </c:pt>
                <c:pt idx="10">
                  <c:v>Chamtala</c:v>
                </c:pt>
                <c:pt idx="11">
                  <c:v>Kabul camp</c:v>
                </c:pt>
                <c:pt idx="12">
                  <c:v>Bar Shegi (Kunar)</c:v>
                </c:pt>
                <c:pt idx="13">
                  <c:v>Harchar (Mehtarlam)</c:v>
                </c:pt>
                <c:pt idx="15">
                  <c:v>Average</c:v>
                </c:pt>
              </c:strCache>
            </c:strRef>
          </c:cat>
          <c:val>
            <c:numRef>
              <c:f>'Joint analysis'!$S$9:$AH$9</c:f>
              <c:numCache>
                <c:formatCode>0.00%</c:formatCode>
                <c:ptCount val="16"/>
                <c:pt idx="0">
                  <c:v>0.69140625</c:v>
                </c:pt>
                <c:pt idx="1">
                  <c:v>0.63043478260869568</c:v>
                </c:pt>
                <c:pt idx="2">
                  <c:v>0.62631578947368416</c:v>
                </c:pt>
                <c:pt idx="4">
                  <c:v>0.22666666666666666</c:v>
                </c:pt>
                <c:pt idx="6" formatCode="0.0%">
                  <c:v>0.6339285714285714</c:v>
                </c:pt>
                <c:pt idx="7" formatCode="0.0%">
                  <c:v>0.60144927536231885</c:v>
                </c:pt>
                <c:pt idx="8" formatCode="0.0%">
                  <c:v>0.65289256198347112</c:v>
                </c:pt>
                <c:pt idx="9" formatCode="0.0%">
                  <c:v>0.67484662576687116</c:v>
                </c:pt>
                <c:pt idx="10" formatCode="0.0%">
                  <c:v>0.68627450980392157</c:v>
                </c:pt>
                <c:pt idx="11" formatCode="0.0%">
                  <c:v>0.66666666666666663</c:v>
                </c:pt>
                <c:pt idx="12" formatCode="0.0%">
                  <c:v>0.6875</c:v>
                </c:pt>
                <c:pt idx="13" formatCode="0.0%">
                  <c:v>0.8571428571428571</c:v>
                </c:pt>
                <c:pt idx="15" formatCode="0.0%">
                  <c:v>0.64973958333333337</c:v>
                </c:pt>
              </c:numCache>
            </c:numRef>
          </c:val>
          <c:extLst>
            <c:ext xmlns:c16="http://schemas.microsoft.com/office/drawing/2014/chart" uri="{C3380CC4-5D6E-409C-BE32-E72D297353CC}">
              <c16:uniqueId val="{00000002-143D-4FA3-A44B-E6CD2B64AB9F}"/>
            </c:ext>
          </c:extLst>
        </c:ser>
        <c:ser>
          <c:idx val="3"/>
          <c:order val="3"/>
          <c:tx>
            <c:strRef>
              <c:f>'Joint analysis'!$Q$10</c:f>
              <c:strCache>
                <c:ptCount val="1"/>
                <c:pt idx="0">
                  <c:v>No agreement </c:v>
                </c:pt>
              </c:strCache>
            </c:strRef>
          </c:tx>
          <c:spPr>
            <a:solidFill>
              <a:schemeClr val="accent4"/>
            </a:solidFill>
            <a:ln>
              <a:noFill/>
            </a:ln>
            <a:effectLst/>
          </c:spPr>
          <c:invertIfNegative val="0"/>
          <c:cat>
            <c:strRef>
              <c:f>'Joint analysis'!$S$6:$AH$6</c:f>
              <c:strCache>
                <c:ptCount val="16"/>
                <c:pt idx="0">
                  <c:v>Rural </c:v>
                </c:pt>
                <c:pt idx="1">
                  <c:v>Semi-urban</c:v>
                </c:pt>
                <c:pt idx="2">
                  <c:v>Urban</c:v>
                </c:pt>
                <c:pt idx="4">
                  <c:v>Jalalabad urban area - key informants</c:v>
                </c:pt>
                <c:pt idx="6">
                  <c:v>JAA urban area </c:v>
                </c:pt>
                <c:pt idx="7">
                  <c:v>Jalalabad</c:v>
                </c:pt>
                <c:pt idx="8">
                  <c:v>Behsud</c:v>
                </c:pt>
                <c:pt idx="9">
                  <c:v>Surkhrod</c:v>
                </c:pt>
                <c:pt idx="10">
                  <c:v>Chamtala</c:v>
                </c:pt>
                <c:pt idx="11">
                  <c:v>Kabul camp</c:v>
                </c:pt>
                <c:pt idx="12">
                  <c:v>Bar Shegi (Kunar)</c:v>
                </c:pt>
                <c:pt idx="13">
                  <c:v>Harchar (Mehtarlam)</c:v>
                </c:pt>
                <c:pt idx="15">
                  <c:v>Average</c:v>
                </c:pt>
              </c:strCache>
            </c:strRef>
          </c:cat>
          <c:val>
            <c:numRef>
              <c:f>'Joint analysis'!$S$10:$AH$10</c:f>
              <c:numCache>
                <c:formatCode>0.00%</c:formatCode>
                <c:ptCount val="16"/>
                <c:pt idx="0">
                  <c:v>8.59375E-2</c:v>
                </c:pt>
                <c:pt idx="1">
                  <c:v>6.2111801242236021E-3</c:v>
                </c:pt>
                <c:pt idx="2">
                  <c:v>3.6842105263157891E-2</c:v>
                </c:pt>
                <c:pt idx="4">
                  <c:v>0.04</c:v>
                </c:pt>
                <c:pt idx="6" formatCode="0.0%">
                  <c:v>2.1428571428571429E-2</c:v>
                </c:pt>
                <c:pt idx="7" formatCode="0.0%">
                  <c:v>3.2608695652173912E-2</c:v>
                </c:pt>
                <c:pt idx="8" formatCode="0.0%">
                  <c:v>0</c:v>
                </c:pt>
                <c:pt idx="9" formatCode="0.0%">
                  <c:v>1.8404907975460124E-2</c:v>
                </c:pt>
                <c:pt idx="10" formatCode="0.0%">
                  <c:v>0.27450980392156865</c:v>
                </c:pt>
                <c:pt idx="11" formatCode="0.0%">
                  <c:v>0</c:v>
                </c:pt>
                <c:pt idx="12" formatCode="0.0%">
                  <c:v>0.3125</c:v>
                </c:pt>
                <c:pt idx="13" formatCode="0.0%">
                  <c:v>0</c:v>
                </c:pt>
                <c:pt idx="15" formatCode="0.0%">
                  <c:v>4.0364583333333336E-2</c:v>
                </c:pt>
              </c:numCache>
            </c:numRef>
          </c:val>
          <c:extLst>
            <c:ext xmlns:c16="http://schemas.microsoft.com/office/drawing/2014/chart" uri="{C3380CC4-5D6E-409C-BE32-E72D297353CC}">
              <c16:uniqueId val="{00000003-143D-4FA3-A44B-E6CD2B64AB9F}"/>
            </c:ext>
          </c:extLst>
        </c:ser>
        <c:ser>
          <c:idx val="4"/>
          <c:order val="4"/>
          <c:tx>
            <c:strRef>
              <c:f>'Joint analysis'!$Q$11</c:f>
              <c:strCache>
                <c:ptCount val="1"/>
                <c:pt idx="0">
                  <c:v>n/a</c:v>
                </c:pt>
              </c:strCache>
            </c:strRef>
          </c:tx>
          <c:spPr>
            <a:solidFill>
              <a:schemeClr val="accent5"/>
            </a:solidFill>
            <a:ln>
              <a:noFill/>
            </a:ln>
            <a:effectLst/>
          </c:spPr>
          <c:invertIfNegative val="0"/>
          <c:cat>
            <c:strRef>
              <c:f>'Joint analysis'!$S$6:$AH$6</c:f>
              <c:strCache>
                <c:ptCount val="16"/>
                <c:pt idx="0">
                  <c:v>Rural </c:v>
                </c:pt>
                <c:pt idx="1">
                  <c:v>Semi-urban</c:v>
                </c:pt>
                <c:pt idx="2">
                  <c:v>Urban</c:v>
                </c:pt>
                <c:pt idx="4">
                  <c:v>Jalalabad urban area - key informants</c:v>
                </c:pt>
                <c:pt idx="6">
                  <c:v>JAA urban area </c:v>
                </c:pt>
                <c:pt idx="7">
                  <c:v>Jalalabad</c:v>
                </c:pt>
                <c:pt idx="8">
                  <c:v>Behsud</c:v>
                </c:pt>
                <c:pt idx="9">
                  <c:v>Surkhrod</c:v>
                </c:pt>
                <c:pt idx="10">
                  <c:v>Chamtala</c:v>
                </c:pt>
                <c:pt idx="11">
                  <c:v>Kabul camp</c:v>
                </c:pt>
                <c:pt idx="12">
                  <c:v>Bar Shegi (Kunar)</c:v>
                </c:pt>
                <c:pt idx="13">
                  <c:v>Harchar (Mehtarlam)</c:v>
                </c:pt>
                <c:pt idx="15">
                  <c:v>Average</c:v>
                </c:pt>
              </c:strCache>
            </c:strRef>
          </c:cat>
          <c:val>
            <c:numRef>
              <c:f>'Joint analysis'!$S$11:$AH$11</c:f>
              <c:numCache>
                <c:formatCode>0.00%</c:formatCode>
                <c:ptCount val="16"/>
                <c:pt idx="0">
                  <c:v>0</c:v>
                </c:pt>
                <c:pt idx="1">
                  <c:v>6.2111801242236021E-3</c:v>
                </c:pt>
                <c:pt idx="2">
                  <c:v>5.263157894736842E-3</c:v>
                </c:pt>
                <c:pt idx="6" formatCode="0.0%">
                  <c:v>1.7857142857142857E-3</c:v>
                </c:pt>
                <c:pt idx="7" formatCode="0.0%">
                  <c:v>3.6231884057971015E-3</c:v>
                </c:pt>
                <c:pt idx="8" formatCode="0.0%">
                  <c:v>0</c:v>
                </c:pt>
                <c:pt idx="9" formatCode="0.0%">
                  <c:v>0</c:v>
                </c:pt>
                <c:pt idx="10" formatCode="0.0%">
                  <c:v>0</c:v>
                </c:pt>
                <c:pt idx="11" formatCode="0.0%">
                  <c:v>1.6666666666666666E-2</c:v>
                </c:pt>
                <c:pt idx="12" formatCode="0.0%">
                  <c:v>0</c:v>
                </c:pt>
                <c:pt idx="13" formatCode="0.0%">
                  <c:v>0</c:v>
                </c:pt>
                <c:pt idx="15" formatCode="0.0%">
                  <c:v>3.90625E-3</c:v>
                </c:pt>
              </c:numCache>
            </c:numRef>
          </c:val>
          <c:extLst>
            <c:ext xmlns:c16="http://schemas.microsoft.com/office/drawing/2014/chart" uri="{C3380CC4-5D6E-409C-BE32-E72D297353CC}">
              <c16:uniqueId val="{00000004-143D-4FA3-A44B-E6CD2B64AB9F}"/>
            </c:ext>
          </c:extLst>
        </c:ser>
        <c:dLbls>
          <c:showLegendKey val="0"/>
          <c:showVal val="0"/>
          <c:showCatName val="0"/>
          <c:showSerName val="0"/>
          <c:showPercent val="0"/>
          <c:showBubbleSize val="0"/>
        </c:dLbls>
        <c:gapWidth val="150"/>
        <c:overlap val="100"/>
        <c:axId val="544240184"/>
        <c:axId val="544241168"/>
      </c:barChart>
      <c:catAx>
        <c:axId val="544240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44241168"/>
        <c:crosses val="autoZero"/>
        <c:auto val="1"/>
        <c:lblAlgn val="ctr"/>
        <c:lblOffset val="100"/>
        <c:noMultiLvlLbl val="0"/>
      </c:catAx>
      <c:valAx>
        <c:axId val="54424116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442401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Perceived availability</a:t>
            </a:r>
            <a:r>
              <a:rPr lang="en-GB" baseline="0"/>
              <a:t> of skilled jobs </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Analysis10!$B$384</c:f>
              <c:strCache>
                <c:ptCount val="1"/>
                <c:pt idx="0">
                  <c:v>Females</c:v>
                </c:pt>
              </c:strCache>
            </c:strRef>
          </c:tx>
          <c:spPr>
            <a:solidFill>
              <a:schemeClr val="accent1"/>
            </a:solidFill>
            <a:ln>
              <a:noFill/>
            </a:ln>
            <a:effectLst/>
          </c:spPr>
          <c:invertIfNegative val="0"/>
          <c:cat>
            <c:strRef>
              <c:f>Analysis10!$A$385:$A$393</c:f>
              <c:strCache>
                <c:ptCount val="9"/>
                <c:pt idx="0">
                  <c:v>Jalalabad urban area</c:v>
                </c:pt>
                <c:pt idx="1">
                  <c:v>Jalalabad</c:v>
                </c:pt>
                <c:pt idx="2">
                  <c:v>Behsud</c:v>
                </c:pt>
                <c:pt idx="3">
                  <c:v>Surkhrod</c:v>
                </c:pt>
                <c:pt idx="4">
                  <c:v>Chamtala</c:v>
                </c:pt>
                <c:pt idx="5">
                  <c:v>Kabul camp</c:v>
                </c:pt>
                <c:pt idx="6">
                  <c:v>Bar Shegi</c:v>
                </c:pt>
                <c:pt idx="7">
                  <c:v>Harchar</c:v>
                </c:pt>
                <c:pt idx="8">
                  <c:v>Average</c:v>
                </c:pt>
              </c:strCache>
            </c:strRef>
          </c:cat>
          <c:val>
            <c:numRef>
              <c:f>Analysis10!$B$385:$B$393</c:f>
              <c:numCache>
                <c:formatCode>0.0%</c:formatCode>
                <c:ptCount val="9"/>
                <c:pt idx="0">
                  <c:v>0.64239999999999997</c:v>
                </c:pt>
                <c:pt idx="1">
                  <c:v>0.7006</c:v>
                </c:pt>
                <c:pt idx="2">
                  <c:v>0.56599999999999995</c:v>
                </c:pt>
                <c:pt idx="3">
                  <c:v>0.58699999999999997</c:v>
                </c:pt>
                <c:pt idx="4">
                  <c:v>0.30430000000000001</c:v>
                </c:pt>
                <c:pt idx="5">
                  <c:v>0.52170000000000005</c:v>
                </c:pt>
                <c:pt idx="6">
                  <c:v>0.5</c:v>
                </c:pt>
                <c:pt idx="7">
                  <c:v>0.33329999999999999</c:v>
                </c:pt>
                <c:pt idx="8">
                  <c:v>0.59950000000000003</c:v>
                </c:pt>
              </c:numCache>
            </c:numRef>
          </c:val>
          <c:extLst>
            <c:ext xmlns:c16="http://schemas.microsoft.com/office/drawing/2014/chart" uri="{C3380CC4-5D6E-409C-BE32-E72D297353CC}">
              <c16:uniqueId val="{00000000-FC69-4811-99AA-47B2A2C8FC38}"/>
            </c:ext>
          </c:extLst>
        </c:ser>
        <c:ser>
          <c:idx val="1"/>
          <c:order val="1"/>
          <c:tx>
            <c:strRef>
              <c:f>Analysis10!$C$384</c:f>
              <c:strCache>
                <c:ptCount val="1"/>
                <c:pt idx="0">
                  <c:v>Males</c:v>
                </c:pt>
              </c:strCache>
            </c:strRef>
          </c:tx>
          <c:spPr>
            <a:solidFill>
              <a:schemeClr val="accent2"/>
            </a:solidFill>
            <a:ln>
              <a:noFill/>
            </a:ln>
            <a:effectLst/>
          </c:spPr>
          <c:invertIfNegative val="0"/>
          <c:cat>
            <c:strRef>
              <c:f>Analysis10!$A$385:$A$393</c:f>
              <c:strCache>
                <c:ptCount val="9"/>
                <c:pt idx="0">
                  <c:v>Jalalabad urban area</c:v>
                </c:pt>
                <c:pt idx="1">
                  <c:v>Jalalabad</c:v>
                </c:pt>
                <c:pt idx="2">
                  <c:v>Behsud</c:v>
                </c:pt>
                <c:pt idx="3">
                  <c:v>Surkhrod</c:v>
                </c:pt>
                <c:pt idx="4">
                  <c:v>Chamtala</c:v>
                </c:pt>
                <c:pt idx="5">
                  <c:v>Kabul camp</c:v>
                </c:pt>
                <c:pt idx="6">
                  <c:v>Bar Shegi</c:v>
                </c:pt>
                <c:pt idx="7">
                  <c:v>Harchar</c:v>
                </c:pt>
                <c:pt idx="8">
                  <c:v>Average</c:v>
                </c:pt>
              </c:strCache>
            </c:strRef>
          </c:cat>
          <c:val>
            <c:numRef>
              <c:f>Analysis10!$C$385:$C$393</c:f>
              <c:numCache>
                <c:formatCode>0.0%</c:formatCode>
                <c:ptCount val="9"/>
                <c:pt idx="0">
                  <c:v>0.28289999999999998</c:v>
                </c:pt>
                <c:pt idx="1">
                  <c:v>0.32769999999999999</c:v>
                </c:pt>
                <c:pt idx="2">
                  <c:v>0.30880000000000002</c:v>
                </c:pt>
                <c:pt idx="3">
                  <c:v>0.18310000000000001</c:v>
                </c:pt>
                <c:pt idx="4">
                  <c:v>0.1429</c:v>
                </c:pt>
                <c:pt idx="5">
                  <c:v>1.35E-2</c:v>
                </c:pt>
                <c:pt idx="6">
                  <c:v>0.1429</c:v>
                </c:pt>
                <c:pt idx="7">
                  <c:v>0.41670000000000001</c:v>
                </c:pt>
                <c:pt idx="8">
                  <c:v>0.22020000000000001</c:v>
                </c:pt>
              </c:numCache>
            </c:numRef>
          </c:val>
          <c:extLst>
            <c:ext xmlns:c16="http://schemas.microsoft.com/office/drawing/2014/chart" uri="{C3380CC4-5D6E-409C-BE32-E72D297353CC}">
              <c16:uniqueId val="{00000001-FC69-4811-99AA-47B2A2C8FC38}"/>
            </c:ext>
          </c:extLst>
        </c:ser>
        <c:dLbls>
          <c:showLegendKey val="0"/>
          <c:showVal val="0"/>
          <c:showCatName val="0"/>
          <c:showSerName val="0"/>
          <c:showPercent val="0"/>
          <c:showBubbleSize val="0"/>
        </c:dLbls>
        <c:gapWidth val="219"/>
        <c:axId val="468458080"/>
        <c:axId val="468458408"/>
      </c:barChart>
      <c:catAx>
        <c:axId val="46845808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8458408"/>
        <c:crosses val="autoZero"/>
        <c:auto val="1"/>
        <c:lblAlgn val="ctr"/>
        <c:lblOffset val="100"/>
        <c:noMultiLvlLbl val="0"/>
      </c:catAx>
      <c:valAx>
        <c:axId val="468458408"/>
        <c:scaling>
          <c:orientation val="minMax"/>
        </c:scaling>
        <c:delete val="0"/>
        <c:axPos val="t"/>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84580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Perceived</a:t>
            </a:r>
            <a:r>
              <a:rPr lang="en-GB" baseline="0"/>
              <a:t> availability of unskilled jobs</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Analysis10!$D$384</c:f>
              <c:strCache>
                <c:ptCount val="1"/>
                <c:pt idx="0">
                  <c:v>Females</c:v>
                </c:pt>
              </c:strCache>
            </c:strRef>
          </c:tx>
          <c:spPr>
            <a:solidFill>
              <a:schemeClr val="accent1"/>
            </a:solidFill>
            <a:ln>
              <a:noFill/>
            </a:ln>
            <a:effectLst/>
          </c:spPr>
          <c:invertIfNegative val="0"/>
          <c:cat>
            <c:strRef>
              <c:f>Analysis10!$A$385:$A$393</c:f>
              <c:strCache>
                <c:ptCount val="9"/>
                <c:pt idx="0">
                  <c:v>Jalalabad urban area</c:v>
                </c:pt>
                <c:pt idx="1">
                  <c:v>Jalalabad</c:v>
                </c:pt>
                <c:pt idx="2">
                  <c:v>Behsud</c:v>
                </c:pt>
                <c:pt idx="3">
                  <c:v>Surkhrod</c:v>
                </c:pt>
                <c:pt idx="4">
                  <c:v>Chamtala</c:v>
                </c:pt>
                <c:pt idx="5">
                  <c:v>Kabul camp</c:v>
                </c:pt>
                <c:pt idx="6">
                  <c:v>Bar Shegi</c:v>
                </c:pt>
                <c:pt idx="7">
                  <c:v>Harchar</c:v>
                </c:pt>
                <c:pt idx="8">
                  <c:v>Average</c:v>
                </c:pt>
              </c:strCache>
            </c:strRef>
          </c:cat>
          <c:val>
            <c:numRef>
              <c:f>Analysis10!$D$385:$D$393</c:f>
              <c:numCache>
                <c:formatCode>0.0%</c:formatCode>
                <c:ptCount val="9"/>
                <c:pt idx="0">
                  <c:v>0.72189999999999999</c:v>
                </c:pt>
                <c:pt idx="1">
                  <c:v>0.71970000000000001</c:v>
                </c:pt>
                <c:pt idx="2">
                  <c:v>0.94340000000000002</c:v>
                </c:pt>
                <c:pt idx="3">
                  <c:v>0.5978</c:v>
                </c:pt>
                <c:pt idx="4">
                  <c:v>0.6522</c:v>
                </c:pt>
                <c:pt idx="5">
                  <c:v>0.78259999999999996</c:v>
                </c:pt>
                <c:pt idx="6">
                  <c:v>0.5</c:v>
                </c:pt>
                <c:pt idx="7">
                  <c:v>0.33329999999999999</c:v>
                </c:pt>
                <c:pt idx="8">
                  <c:v>0.7147</c:v>
                </c:pt>
              </c:numCache>
            </c:numRef>
          </c:val>
          <c:extLst>
            <c:ext xmlns:c16="http://schemas.microsoft.com/office/drawing/2014/chart" uri="{C3380CC4-5D6E-409C-BE32-E72D297353CC}">
              <c16:uniqueId val="{00000000-9EB0-4177-B671-088C7669CDAB}"/>
            </c:ext>
          </c:extLst>
        </c:ser>
        <c:ser>
          <c:idx val="1"/>
          <c:order val="1"/>
          <c:tx>
            <c:strRef>
              <c:f>Analysis10!$E$384</c:f>
              <c:strCache>
                <c:ptCount val="1"/>
                <c:pt idx="0">
                  <c:v>Males</c:v>
                </c:pt>
              </c:strCache>
            </c:strRef>
          </c:tx>
          <c:spPr>
            <a:solidFill>
              <a:schemeClr val="accent2"/>
            </a:solidFill>
            <a:ln>
              <a:noFill/>
            </a:ln>
            <a:effectLst/>
          </c:spPr>
          <c:invertIfNegative val="0"/>
          <c:cat>
            <c:strRef>
              <c:f>Analysis10!$A$385:$A$393</c:f>
              <c:strCache>
                <c:ptCount val="9"/>
                <c:pt idx="0">
                  <c:v>Jalalabad urban area</c:v>
                </c:pt>
                <c:pt idx="1">
                  <c:v>Jalalabad</c:v>
                </c:pt>
                <c:pt idx="2">
                  <c:v>Behsud</c:v>
                </c:pt>
                <c:pt idx="3">
                  <c:v>Surkhrod</c:v>
                </c:pt>
                <c:pt idx="4">
                  <c:v>Chamtala</c:v>
                </c:pt>
                <c:pt idx="5">
                  <c:v>Kabul camp</c:v>
                </c:pt>
                <c:pt idx="6">
                  <c:v>Bar Shegi</c:v>
                </c:pt>
                <c:pt idx="7">
                  <c:v>Harchar</c:v>
                </c:pt>
                <c:pt idx="8">
                  <c:v>Average</c:v>
                </c:pt>
              </c:strCache>
            </c:strRef>
          </c:cat>
          <c:val>
            <c:numRef>
              <c:f>Analysis10!$E$385:$E$393</c:f>
              <c:numCache>
                <c:formatCode>0.0%</c:formatCode>
                <c:ptCount val="9"/>
                <c:pt idx="0">
                  <c:v>0.55430000000000001</c:v>
                </c:pt>
                <c:pt idx="1">
                  <c:v>0.42020000000000002</c:v>
                </c:pt>
                <c:pt idx="2">
                  <c:v>0.72060000000000002</c:v>
                </c:pt>
                <c:pt idx="3">
                  <c:v>0.61970000000000003</c:v>
                </c:pt>
                <c:pt idx="4">
                  <c:v>0.5</c:v>
                </c:pt>
                <c:pt idx="5">
                  <c:v>0.48649999999999999</c:v>
                </c:pt>
                <c:pt idx="6">
                  <c:v>0.57140000000000002</c:v>
                </c:pt>
                <c:pt idx="7">
                  <c:v>0.83330000000000004</c:v>
                </c:pt>
                <c:pt idx="8">
                  <c:v>0.54659999999999997</c:v>
                </c:pt>
              </c:numCache>
            </c:numRef>
          </c:val>
          <c:extLst>
            <c:ext xmlns:c16="http://schemas.microsoft.com/office/drawing/2014/chart" uri="{C3380CC4-5D6E-409C-BE32-E72D297353CC}">
              <c16:uniqueId val="{00000001-9EB0-4177-B671-088C7669CDAB}"/>
            </c:ext>
          </c:extLst>
        </c:ser>
        <c:dLbls>
          <c:showLegendKey val="0"/>
          <c:showVal val="0"/>
          <c:showCatName val="0"/>
          <c:showSerName val="0"/>
          <c:showPercent val="0"/>
          <c:showBubbleSize val="0"/>
        </c:dLbls>
        <c:gapWidth val="219"/>
        <c:axId val="468458080"/>
        <c:axId val="468458408"/>
      </c:barChart>
      <c:catAx>
        <c:axId val="468458080"/>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8458408"/>
        <c:crosses val="autoZero"/>
        <c:auto val="1"/>
        <c:lblAlgn val="ctr"/>
        <c:lblOffset val="100"/>
        <c:noMultiLvlLbl val="0"/>
      </c:catAx>
      <c:valAx>
        <c:axId val="468458408"/>
        <c:scaling>
          <c:orientation val="minMax"/>
        </c:scaling>
        <c:delete val="0"/>
        <c:axPos val="t"/>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84580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200"/>
              <a:t>Reasons</a:t>
            </a:r>
            <a:r>
              <a:rPr lang="en-GB" sz="1200" baseline="0"/>
              <a:t> for moving to current settlement: different household categories  </a:t>
            </a:r>
            <a:endParaRPr lang="en-GB" sz="1200"/>
          </a:p>
        </c:rich>
      </c:tx>
      <c:layout>
        <c:manualLayout>
          <c:xMode val="edge"/>
          <c:yMode val="edge"/>
          <c:x val="0.24164658634538155"/>
          <c:y val="2.9739776951672861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Analysis7!$BB$17</c:f>
              <c:strCache>
                <c:ptCount val="1"/>
                <c:pt idx="0">
                  <c:v>Host community </c:v>
                </c:pt>
              </c:strCache>
            </c:strRef>
          </c:tx>
          <c:spPr>
            <a:solidFill>
              <a:schemeClr val="accent1"/>
            </a:solidFill>
            <a:ln>
              <a:noFill/>
            </a:ln>
            <a:effectLst/>
          </c:spPr>
          <c:invertIfNegative val="0"/>
          <c:cat>
            <c:strRef>
              <c:f>Analysis7!$BC$16:$BI$16</c:f>
              <c:strCache>
                <c:ptCount val="7"/>
                <c:pt idx="0">
                  <c:v>Security</c:v>
                </c:pt>
                <c:pt idx="1">
                  <c:v>Return</c:v>
                </c:pt>
                <c:pt idx="2">
                  <c:v>Economic opportunity </c:v>
                </c:pt>
                <c:pt idx="3">
                  <c:v>Studies</c:v>
                </c:pt>
                <c:pt idx="4">
                  <c:v>Marriage</c:v>
                </c:pt>
                <c:pt idx="5">
                  <c:v>Relatives</c:v>
                </c:pt>
                <c:pt idx="6">
                  <c:v>Housing issues</c:v>
                </c:pt>
              </c:strCache>
            </c:strRef>
          </c:cat>
          <c:val>
            <c:numRef>
              <c:f>Analysis7!$BC$17:$BI$17</c:f>
              <c:numCache>
                <c:formatCode>0.0%</c:formatCode>
                <c:ptCount val="7"/>
                <c:pt idx="0">
                  <c:v>6.2015503875968991E-2</c:v>
                </c:pt>
                <c:pt idx="1">
                  <c:v>7.7519379844961239E-3</c:v>
                </c:pt>
                <c:pt idx="2">
                  <c:v>0.53488372093023251</c:v>
                </c:pt>
                <c:pt idx="3">
                  <c:v>3.6175710594315243E-2</c:v>
                </c:pt>
                <c:pt idx="4">
                  <c:v>1.0335917312661499E-2</c:v>
                </c:pt>
                <c:pt idx="5">
                  <c:v>1.2919896640826873E-2</c:v>
                </c:pt>
                <c:pt idx="6">
                  <c:v>4.909560723514212E-2</c:v>
                </c:pt>
              </c:numCache>
            </c:numRef>
          </c:val>
          <c:extLst>
            <c:ext xmlns:c16="http://schemas.microsoft.com/office/drawing/2014/chart" uri="{C3380CC4-5D6E-409C-BE32-E72D297353CC}">
              <c16:uniqueId val="{00000000-7085-46F0-8EC1-1C33928F2795}"/>
            </c:ext>
          </c:extLst>
        </c:ser>
        <c:ser>
          <c:idx val="1"/>
          <c:order val="1"/>
          <c:tx>
            <c:strRef>
              <c:f>Analysis7!$BB$18</c:f>
              <c:strCache>
                <c:ptCount val="1"/>
                <c:pt idx="0">
                  <c:v>IDP</c:v>
                </c:pt>
              </c:strCache>
            </c:strRef>
          </c:tx>
          <c:spPr>
            <a:solidFill>
              <a:schemeClr val="accent2"/>
            </a:solidFill>
            <a:ln>
              <a:noFill/>
            </a:ln>
            <a:effectLst/>
          </c:spPr>
          <c:invertIfNegative val="0"/>
          <c:cat>
            <c:strRef>
              <c:f>Analysis7!$BC$16:$BI$16</c:f>
              <c:strCache>
                <c:ptCount val="7"/>
                <c:pt idx="0">
                  <c:v>Security</c:v>
                </c:pt>
                <c:pt idx="1">
                  <c:v>Return</c:v>
                </c:pt>
                <c:pt idx="2">
                  <c:v>Economic opportunity </c:v>
                </c:pt>
                <c:pt idx="3">
                  <c:v>Studies</c:v>
                </c:pt>
                <c:pt idx="4">
                  <c:v>Marriage</c:v>
                </c:pt>
                <c:pt idx="5">
                  <c:v>Relatives</c:v>
                </c:pt>
                <c:pt idx="6">
                  <c:v>Housing issues</c:v>
                </c:pt>
              </c:strCache>
            </c:strRef>
          </c:cat>
          <c:val>
            <c:numRef>
              <c:f>Analysis7!$BC$18:$BI$18</c:f>
              <c:numCache>
                <c:formatCode>0.0%</c:formatCode>
                <c:ptCount val="7"/>
                <c:pt idx="0">
                  <c:v>0.86857142857142855</c:v>
                </c:pt>
                <c:pt idx="1">
                  <c:v>1.7142857142857144E-2</c:v>
                </c:pt>
                <c:pt idx="2">
                  <c:v>0.17714285714285713</c:v>
                </c:pt>
                <c:pt idx="3">
                  <c:v>2.2857142857142857E-2</c:v>
                </c:pt>
                <c:pt idx="4">
                  <c:v>5.7142857142857143E-3</c:v>
                </c:pt>
                <c:pt idx="5">
                  <c:v>5.7142857142857143E-3</c:v>
                </c:pt>
                <c:pt idx="6">
                  <c:v>1.1428571428571429E-2</c:v>
                </c:pt>
              </c:numCache>
            </c:numRef>
          </c:val>
          <c:extLst>
            <c:ext xmlns:c16="http://schemas.microsoft.com/office/drawing/2014/chart" uri="{C3380CC4-5D6E-409C-BE32-E72D297353CC}">
              <c16:uniqueId val="{00000001-7085-46F0-8EC1-1C33928F2795}"/>
            </c:ext>
          </c:extLst>
        </c:ser>
        <c:ser>
          <c:idx val="3"/>
          <c:order val="3"/>
          <c:tx>
            <c:strRef>
              <c:f>Analysis7!$BB$19</c:f>
              <c:strCache>
                <c:ptCount val="1"/>
                <c:pt idx="0">
                  <c:v>Returnee</c:v>
                </c:pt>
              </c:strCache>
            </c:strRef>
          </c:tx>
          <c:spPr>
            <a:solidFill>
              <a:schemeClr val="accent4"/>
            </a:solidFill>
            <a:ln>
              <a:noFill/>
            </a:ln>
            <a:effectLst/>
          </c:spPr>
          <c:invertIfNegative val="0"/>
          <c:cat>
            <c:strRef>
              <c:f>Analysis7!$BC$16:$BI$16</c:f>
              <c:strCache>
                <c:ptCount val="7"/>
                <c:pt idx="0">
                  <c:v>Security</c:v>
                </c:pt>
                <c:pt idx="1">
                  <c:v>Return</c:v>
                </c:pt>
                <c:pt idx="2">
                  <c:v>Economic opportunity </c:v>
                </c:pt>
                <c:pt idx="3">
                  <c:v>Studies</c:v>
                </c:pt>
                <c:pt idx="4">
                  <c:v>Marriage</c:v>
                </c:pt>
                <c:pt idx="5">
                  <c:v>Relatives</c:v>
                </c:pt>
                <c:pt idx="6">
                  <c:v>Housing issues</c:v>
                </c:pt>
              </c:strCache>
            </c:strRef>
          </c:cat>
          <c:val>
            <c:numRef>
              <c:f>Analysis7!$BC$19:$BI$19</c:f>
              <c:numCache>
                <c:formatCode>0.0%</c:formatCode>
                <c:ptCount val="7"/>
                <c:pt idx="0">
                  <c:v>3.5353535353535352E-2</c:v>
                </c:pt>
                <c:pt idx="1">
                  <c:v>0.66666666666666663</c:v>
                </c:pt>
                <c:pt idx="2">
                  <c:v>0.21717171717171718</c:v>
                </c:pt>
                <c:pt idx="3">
                  <c:v>0</c:v>
                </c:pt>
                <c:pt idx="4">
                  <c:v>5.0505050505050509E-3</c:v>
                </c:pt>
                <c:pt idx="5">
                  <c:v>1.0101010101010102E-2</c:v>
                </c:pt>
                <c:pt idx="6">
                  <c:v>8.5858585858585856E-2</c:v>
                </c:pt>
              </c:numCache>
            </c:numRef>
          </c:val>
          <c:extLst>
            <c:ext xmlns:c16="http://schemas.microsoft.com/office/drawing/2014/chart" uri="{C3380CC4-5D6E-409C-BE32-E72D297353CC}">
              <c16:uniqueId val="{00000002-7085-46F0-8EC1-1C33928F2795}"/>
            </c:ext>
          </c:extLst>
        </c:ser>
        <c:dLbls>
          <c:showLegendKey val="0"/>
          <c:showVal val="0"/>
          <c:showCatName val="0"/>
          <c:showSerName val="0"/>
          <c:showPercent val="0"/>
          <c:showBubbleSize val="0"/>
        </c:dLbls>
        <c:gapWidth val="182"/>
        <c:axId val="516554832"/>
        <c:axId val="494923128"/>
        <c:extLst>
          <c:ext xmlns:c15="http://schemas.microsoft.com/office/drawing/2012/chart" uri="{02D57815-91ED-43cb-92C2-25804820EDAC}">
            <c15:filteredBarSeries>
              <c15:ser>
                <c:idx val="2"/>
                <c:order val="2"/>
                <c:tx>
                  <c:strRef>
                    <c:extLst>
                      <c:ext uri="{02D57815-91ED-43cb-92C2-25804820EDAC}">
                        <c15:formulaRef>
                          <c15:sqref>Analysis5!#REF!</c15:sqref>
                        </c15:formulaRef>
                      </c:ext>
                    </c:extLst>
                    <c:strCache>
                      <c:ptCount val="1"/>
                      <c:pt idx="0">
                        <c:v>#REF!</c:v>
                      </c:pt>
                    </c:strCache>
                  </c:strRef>
                </c:tx>
                <c:spPr>
                  <a:solidFill>
                    <a:schemeClr val="accent3"/>
                  </a:solidFill>
                  <a:ln>
                    <a:noFill/>
                  </a:ln>
                  <a:effectLst/>
                </c:spPr>
                <c:invertIfNegative val="0"/>
                <c:cat>
                  <c:strRef>
                    <c:extLst>
                      <c:ext uri="{02D57815-91ED-43cb-92C2-25804820EDAC}">
                        <c15:formulaRef>
                          <c15:sqref>Analysis7!$BC$16:$BI$16</c15:sqref>
                        </c15:formulaRef>
                      </c:ext>
                    </c:extLst>
                    <c:strCache>
                      <c:ptCount val="7"/>
                      <c:pt idx="0">
                        <c:v>Security</c:v>
                      </c:pt>
                      <c:pt idx="1">
                        <c:v>Return</c:v>
                      </c:pt>
                      <c:pt idx="2">
                        <c:v>Economic opportunity </c:v>
                      </c:pt>
                      <c:pt idx="3">
                        <c:v>Studies</c:v>
                      </c:pt>
                      <c:pt idx="4">
                        <c:v>Marriage</c:v>
                      </c:pt>
                      <c:pt idx="5">
                        <c:v>Relatives</c:v>
                      </c:pt>
                      <c:pt idx="6">
                        <c:v>Housing issues</c:v>
                      </c:pt>
                    </c:strCache>
                  </c:strRef>
                </c:cat>
                <c:val>
                  <c:numRef>
                    <c:extLst>
                      <c:ext uri="{02D57815-91ED-43cb-92C2-25804820EDAC}">
                        <c15:formulaRef>
                          <c15:sqref>Analysis5!#REF!</c15:sqref>
                        </c15:formulaRef>
                      </c:ext>
                    </c:extLst>
                    <c:numCache>
                      <c:formatCode>General</c:formatCode>
                      <c:ptCount val="1"/>
                      <c:pt idx="0">
                        <c:v>1</c:v>
                      </c:pt>
                    </c:numCache>
                  </c:numRef>
                </c:val>
                <c:extLst>
                  <c:ext xmlns:c16="http://schemas.microsoft.com/office/drawing/2014/chart" uri="{C3380CC4-5D6E-409C-BE32-E72D297353CC}">
                    <c16:uniqueId val="{00000003-7085-46F0-8EC1-1C33928F2795}"/>
                  </c:ext>
                </c:extLst>
              </c15:ser>
            </c15:filteredBarSeries>
          </c:ext>
        </c:extLst>
      </c:barChart>
      <c:catAx>
        <c:axId val="516554832"/>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4923128"/>
        <c:crosses val="autoZero"/>
        <c:auto val="1"/>
        <c:lblAlgn val="ctr"/>
        <c:lblOffset val="100"/>
        <c:noMultiLvlLbl val="0"/>
      </c:catAx>
      <c:valAx>
        <c:axId val="494923128"/>
        <c:scaling>
          <c:orientation val="minMax"/>
        </c:scaling>
        <c:delete val="0"/>
        <c:axPos val="t"/>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1655483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0.66197</cdr:x>
      <cdr:y>0.57407</cdr:y>
    </cdr:from>
    <cdr:to>
      <cdr:x>0.93159</cdr:x>
      <cdr:y>0.80556</cdr:y>
    </cdr:to>
    <cdr:sp macro="" textlink="">
      <cdr:nvSpPr>
        <cdr:cNvPr id="2" name="TextBox 1">
          <a:extLst xmlns:a="http://schemas.openxmlformats.org/drawingml/2006/main">
            <a:ext uri="{FF2B5EF4-FFF2-40B4-BE49-F238E27FC236}">
              <a16:creationId xmlns:a16="http://schemas.microsoft.com/office/drawing/2014/main" id="{6AC5BDFB-3038-4CAA-8841-224C3C22F646}"/>
            </a:ext>
          </a:extLst>
        </cdr:cNvPr>
        <cdr:cNvSpPr txBox="1"/>
      </cdr:nvSpPr>
      <cdr:spPr>
        <a:xfrm xmlns:a="http://schemas.openxmlformats.org/drawingml/2006/main">
          <a:off x="4178300" y="1574800"/>
          <a:ext cx="1701800" cy="6350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GB" sz="1100"/>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AA2238-279D-4557-9783-9151D8B08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26</Pages>
  <Words>13335</Words>
  <Characters>76013</Characters>
  <Application>Microsoft Office Word</Application>
  <DocSecurity>0</DocSecurity>
  <Lines>633</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Lopez</dc:creator>
  <cp:keywords/>
  <dc:description/>
  <cp:lastModifiedBy>NRC</cp:lastModifiedBy>
  <cp:revision>35</cp:revision>
  <cp:lastPrinted>2018-08-29T20:01:00Z</cp:lastPrinted>
  <dcterms:created xsi:type="dcterms:W3CDTF">2018-08-30T11:26:00Z</dcterms:created>
  <dcterms:modified xsi:type="dcterms:W3CDTF">2018-08-30T12:44:00Z</dcterms:modified>
</cp:coreProperties>
</file>